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17.xml" ContentType="application/vnd.openxmlformats-officedocument.drawingml.chart+xml"/>
  <Override PartName="/word/theme/themeOverride5.xml" ContentType="application/vnd.openxmlformats-officedocument.themeOverride+xml"/>
  <Override PartName="/word/charts/chart18.xml" ContentType="application/vnd.openxmlformats-officedocument.drawingml.chart+xml"/>
  <Override PartName="/word/theme/themeOverride6.xml" ContentType="application/vnd.openxmlformats-officedocument.themeOverride+xml"/>
  <Override PartName="/word/charts/chart19.xml" ContentType="application/vnd.openxmlformats-officedocument.drawingml.chart+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22.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23.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2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6.xml" ContentType="application/vnd.openxmlformats-officedocument.drawingml.chart+xml"/>
  <Override PartName="/word/charts/chart27.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8.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9.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30.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i w:val="0"/>
          <w:sz w:val="22"/>
          <w:lang w:eastAsia="en-US"/>
        </w:rPr>
        <w:id w:val="1808587924"/>
        <w:docPartObj>
          <w:docPartGallery w:val="Cover Pages"/>
          <w:docPartUnique/>
        </w:docPartObj>
      </w:sdtPr>
      <w:sdtEndPr>
        <w:rPr>
          <w:b/>
          <w:sz w:val="32"/>
          <w:szCs w:val="32"/>
        </w:rPr>
      </w:sdtEndPr>
      <w:sdtContent>
        <w:p w:rsidR="00560A0B" w:rsidRPr="006530A7" w:rsidRDefault="00560A0B" w:rsidP="00822ADA">
          <w:pPr>
            <w:pStyle w:val="StileFonte"/>
          </w:pPr>
        </w:p>
        <w:p w:rsidR="0023366A" w:rsidRPr="00055D9E" w:rsidRDefault="00556F9C" w:rsidP="00055D9E">
          <w:pPr>
            <w:rPr>
              <w:b/>
              <w:sz w:val="32"/>
              <w:szCs w:val="32"/>
            </w:rPr>
          </w:pPr>
          <w:r w:rsidRPr="006530A7">
            <w:rPr>
              <w:b/>
              <w:sz w:val="32"/>
              <w:szCs w:val="32"/>
            </w:rPr>
            <w:br w:type="page"/>
          </w:r>
        </w:p>
      </w:sdtContent>
    </w:sdt>
    <w:sdt>
      <w:sdtPr>
        <w:rPr>
          <w:rFonts w:asciiTheme="minorHAnsi" w:eastAsiaTheme="minorHAnsi" w:hAnsiTheme="minorHAnsi" w:cstheme="minorBidi"/>
          <w:b w:val="0"/>
          <w:bCs w:val="0"/>
          <w:color w:val="auto"/>
          <w:sz w:val="22"/>
          <w:szCs w:val="22"/>
          <w:lang w:eastAsia="en-US"/>
        </w:rPr>
        <w:id w:val="-747808051"/>
        <w:docPartObj>
          <w:docPartGallery w:val="Table of Contents"/>
          <w:docPartUnique/>
        </w:docPartObj>
      </w:sdtPr>
      <w:sdtEndPr>
        <w:rPr>
          <w:sz w:val="24"/>
          <w:szCs w:val="24"/>
        </w:rPr>
      </w:sdtEndPr>
      <w:sdtContent>
        <w:p w:rsidR="00216449" w:rsidRPr="0011381F" w:rsidRDefault="0011381F" w:rsidP="0011381F">
          <w:pPr>
            <w:pStyle w:val="Titolosommario"/>
            <w:tabs>
              <w:tab w:val="center" w:pos="4252"/>
              <w:tab w:val="left" w:pos="6520"/>
            </w:tabs>
            <w:rPr>
              <w:rFonts w:asciiTheme="minorHAnsi" w:hAnsiTheme="minorHAnsi"/>
              <w:color w:val="auto"/>
            </w:rPr>
          </w:pPr>
          <w:r>
            <w:rPr>
              <w:rFonts w:asciiTheme="minorHAnsi" w:eastAsiaTheme="minorHAnsi" w:hAnsiTheme="minorHAnsi" w:cstheme="minorBidi"/>
              <w:b w:val="0"/>
              <w:bCs w:val="0"/>
              <w:color w:val="auto"/>
              <w:sz w:val="22"/>
              <w:szCs w:val="22"/>
              <w:lang w:eastAsia="en-US"/>
            </w:rPr>
            <w:tab/>
          </w:r>
          <w:r w:rsidR="003A2116" w:rsidRPr="0011381F">
            <w:rPr>
              <w:rFonts w:asciiTheme="minorHAnsi" w:hAnsiTheme="minorHAnsi"/>
              <w:color w:val="auto"/>
            </w:rPr>
            <w:t>INDICE</w:t>
          </w:r>
          <w:r>
            <w:rPr>
              <w:rFonts w:asciiTheme="minorHAnsi" w:hAnsiTheme="minorHAnsi"/>
              <w:color w:val="auto"/>
            </w:rPr>
            <w:tab/>
          </w:r>
        </w:p>
        <w:p w:rsidR="0011381F" w:rsidRDefault="00216449" w:rsidP="007702BE">
          <w:pPr>
            <w:pStyle w:val="Sommario1"/>
            <w:rPr>
              <w:rFonts w:eastAsiaTheme="minorEastAsia"/>
              <w:sz w:val="22"/>
              <w:szCs w:val="22"/>
              <w:lang w:eastAsia="it-IT"/>
            </w:rPr>
          </w:pPr>
          <w:r w:rsidRPr="00A42230">
            <w:rPr>
              <w:highlight w:val="yellow"/>
            </w:rPr>
            <w:fldChar w:fldCharType="begin"/>
          </w:r>
          <w:r w:rsidRPr="00A42230">
            <w:rPr>
              <w:highlight w:val="yellow"/>
            </w:rPr>
            <w:instrText xml:space="preserve"> TOC \o "1-3" \h \z \u </w:instrText>
          </w:r>
          <w:r w:rsidRPr="00A42230">
            <w:rPr>
              <w:highlight w:val="yellow"/>
            </w:rPr>
            <w:fldChar w:fldCharType="separate"/>
          </w:r>
          <w:hyperlink w:anchor="_Toc445539584" w:history="1">
            <w:r w:rsidR="0011381F" w:rsidRPr="00282426">
              <w:rPr>
                <w:rStyle w:val="Collegamentoipertestuale"/>
              </w:rPr>
              <w:t>Nota introduttiva</w:t>
            </w:r>
            <w:r w:rsidR="0011381F">
              <w:rPr>
                <w:webHidden/>
              </w:rPr>
              <w:tab/>
            </w:r>
            <w:r w:rsidR="0011381F">
              <w:rPr>
                <w:webHidden/>
              </w:rPr>
              <w:fldChar w:fldCharType="begin"/>
            </w:r>
            <w:r w:rsidR="0011381F">
              <w:rPr>
                <w:webHidden/>
              </w:rPr>
              <w:instrText xml:space="preserve"> PAGEREF _Toc445539584 \h </w:instrText>
            </w:r>
            <w:r w:rsidR="0011381F">
              <w:rPr>
                <w:webHidden/>
              </w:rPr>
            </w:r>
            <w:r w:rsidR="0011381F">
              <w:rPr>
                <w:webHidden/>
              </w:rPr>
              <w:fldChar w:fldCharType="separate"/>
            </w:r>
            <w:r w:rsidR="00AE56D7">
              <w:rPr>
                <w:webHidden/>
              </w:rPr>
              <w:t>2</w:t>
            </w:r>
            <w:r w:rsidR="0011381F">
              <w:rPr>
                <w:webHidden/>
              </w:rPr>
              <w:fldChar w:fldCharType="end"/>
            </w:r>
          </w:hyperlink>
        </w:p>
        <w:p w:rsidR="0011381F" w:rsidRDefault="009B338E" w:rsidP="007702BE">
          <w:pPr>
            <w:pStyle w:val="Sommario1"/>
            <w:rPr>
              <w:rFonts w:eastAsiaTheme="minorEastAsia"/>
              <w:sz w:val="22"/>
              <w:szCs w:val="22"/>
              <w:lang w:eastAsia="it-IT"/>
            </w:rPr>
          </w:pPr>
          <w:hyperlink w:anchor="_Toc445539585" w:history="1">
            <w:r w:rsidR="0011381F" w:rsidRPr="00282426">
              <w:rPr>
                <w:rStyle w:val="Collegamentoipertestuale"/>
              </w:rPr>
              <w:t>1.</w:t>
            </w:r>
            <w:r w:rsidR="0011381F">
              <w:rPr>
                <w:rFonts w:eastAsiaTheme="minorEastAsia"/>
                <w:sz w:val="22"/>
                <w:szCs w:val="22"/>
                <w:lang w:eastAsia="it-IT"/>
              </w:rPr>
              <w:tab/>
            </w:r>
            <w:r w:rsidR="0011381F" w:rsidRPr="00282426">
              <w:rPr>
                <w:rStyle w:val="Collegamentoipertestuale"/>
              </w:rPr>
              <w:t>Il cambiamento di clima nel me</w:t>
            </w:r>
            <w:r w:rsidR="0011381F">
              <w:rPr>
                <w:rStyle w:val="Collegamentoipertestuale"/>
              </w:rPr>
              <w:t xml:space="preserve">rcato immobiliare alla fine </w:t>
            </w:r>
            <w:r w:rsidR="0011381F" w:rsidRPr="00282426">
              <w:rPr>
                <w:rStyle w:val="Collegamentoipertestuale"/>
              </w:rPr>
              <w:t>della recessione</w:t>
            </w:r>
            <w:r w:rsidR="0011381F">
              <w:rPr>
                <w:webHidden/>
              </w:rPr>
              <w:tab/>
            </w:r>
            <w:r w:rsidR="0011381F">
              <w:rPr>
                <w:webHidden/>
              </w:rPr>
              <w:fldChar w:fldCharType="begin"/>
            </w:r>
            <w:r w:rsidR="0011381F">
              <w:rPr>
                <w:webHidden/>
              </w:rPr>
              <w:instrText xml:space="preserve"> PAGEREF _Toc445539585 \h </w:instrText>
            </w:r>
            <w:r w:rsidR="0011381F">
              <w:rPr>
                <w:webHidden/>
              </w:rPr>
            </w:r>
            <w:r w:rsidR="0011381F">
              <w:rPr>
                <w:webHidden/>
              </w:rPr>
              <w:fldChar w:fldCharType="separate"/>
            </w:r>
            <w:r w:rsidR="00AE56D7">
              <w:rPr>
                <w:webHidden/>
              </w:rPr>
              <w:t>3</w:t>
            </w:r>
            <w:r w:rsidR="0011381F">
              <w:rPr>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86" w:history="1">
            <w:r w:rsidR="0011381F" w:rsidRPr="00282426">
              <w:rPr>
                <w:rStyle w:val="Collegamentoipertestuale"/>
                <w:noProof/>
              </w:rPr>
              <w:t>1.1.</w:t>
            </w:r>
            <w:r w:rsidR="0011381F">
              <w:rPr>
                <w:rFonts w:eastAsiaTheme="minorEastAsia"/>
                <w:noProof/>
                <w:lang w:eastAsia="it-IT"/>
              </w:rPr>
              <w:tab/>
            </w:r>
            <w:r w:rsidR="0011381F" w:rsidRPr="00282426">
              <w:rPr>
                <w:rStyle w:val="Collegamentoipertestuale"/>
                <w:noProof/>
              </w:rPr>
              <w:t>Un passaggio di ciclo è possibile</w:t>
            </w:r>
            <w:r w:rsidR="0011381F">
              <w:rPr>
                <w:noProof/>
                <w:webHidden/>
              </w:rPr>
              <w:tab/>
            </w:r>
            <w:r w:rsidR="0011381F">
              <w:rPr>
                <w:noProof/>
                <w:webHidden/>
              </w:rPr>
              <w:fldChar w:fldCharType="begin"/>
            </w:r>
            <w:r w:rsidR="0011381F">
              <w:rPr>
                <w:noProof/>
                <w:webHidden/>
              </w:rPr>
              <w:instrText xml:space="preserve"> PAGEREF _Toc445539586 \h </w:instrText>
            </w:r>
            <w:r w:rsidR="0011381F">
              <w:rPr>
                <w:noProof/>
                <w:webHidden/>
              </w:rPr>
            </w:r>
            <w:r w:rsidR="0011381F">
              <w:rPr>
                <w:noProof/>
                <w:webHidden/>
              </w:rPr>
              <w:fldChar w:fldCharType="separate"/>
            </w:r>
            <w:r w:rsidR="00AE56D7">
              <w:rPr>
                <w:noProof/>
                <w:webHidden/>
              </w:rPr>
              <w:t>3</w:t>
            </w:r>
            <w:r w:rsidR="0011381F">
              <w:rPr>
                <w:noProof/>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87" w:history="1">
            <w:r w:rsidR="0011381F" w:rsidRPr="00282426">
              <w:rPr>
                <w:rStyle w:val="Collegamentoipertestuale"/>
                <w:noProof/>
              </w:rPr>
              <w:t>1.2.</w:t>
            </w:r>
            <w:r w:rsidR="0011381F">
              <w:rPr>
                <w:rFonts w:eastAsiaTheme="minorEastAsia"/>
                <w:noProof/>
                <w:lang w:eastAsia="it-IT"/>
              </w:rPr>
              <w:tab/>
            </w:r>
            <w:r w:rsidR="0011381F" w:rsidRPr="00282426">
              <w:rPr>
                <w:rStyle w:val="Collegamentoipertestuale"/>
                <w:noProof/>
              </w:rPr>
              <w:t>I nuovi termini del consumo abitativo</w:t>
            </w:r>
            <w:r w:rsidR="0011381F">
              <w:rPr>
                <w:noProof/>
                <w:webHidden/>
              </w:rPr>
              <w:tab/>
            </w:r>
            <w:r w:rsidR="0011381F">
              <w:rPr>
                <w:noProof/>
                <w:webHidden/>
              </w:rPr>
              <w:fldChar w:fldCharType="begin"/>
            </w:r>
            <w:r w:rsidR="0011381F">
              <w:rPr>
                <w:noProof/>
                <w:webHidden/>
              </w:rPr>
              <w:instrText xml:space="preserve"> PAGEREF _Toc445539587 \h </w:instrText>
            </w:r>
            <w:r w:rsidR="0011381F">
              <w:rPr>
                <w:noProof/>
                <w:webHidden/>
              </w:rPr>
            </w:r>
            <w:r w:rsidR="0011381F">
              <w:rPr>
                <w:noProof/>
                <w:webHidden/>
              </w:rPr>
              <w:fldChar w:fldCharType="separate"/>
            </w:r>
            <w:r w:rsidR="00AE56D7">
              <w:rPr>
                <w:noProof/>
                <w:webHidden/>
              </w:rPr>
              <w:t>5</w:t>
            </w:r>
            <w:r w:rsidR="0011381F">
              <w:rPr>
                <w:noProof/>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88" w:history="1">
            <w:r w:rsidR="0011381F" w:rsidRPr="00282426">
              <w:rPr>
                <w:rStyle w:val="Collegamentoipertestuale"/>
                <w:noProof/>
              </w:rPr>
              <w:t>1.3.</w:t>
            </w:r>
            <w:r w:rsidR="0011381F">
              <w:rPr>
                <w:rFonts w:eastAsiaTheme="minorEastAsia"/>
                <w:noProof/>
                <w:lang w:eastAsia="it-IT"/>
              </w:rPr>
              <w:tab/>
            </w:r>
            <w:r w:rsidR="0011381F" w:rsidRPr="00282426">
              <w:rPr>
                <w:rStyle w:val="Collegamentoipertestuale"/>
                <w:noProof/>
              </w:rPr>
              <w:t>Mercato corporate in attesa del rilancio dell’economia</w:t>
            </w:r>
            <w:r w:rsidR="0011381F">
              <w:rPr>
                <w:noProof/>
                <w:webHidden/>
              </w:rPr>
              <w:tab/>
            </w:r>
            <w:r w:rsidR="0011381F">
              <w:rPr>
                <w:noProof/>
                <w:webHidden/>
              </w:rPr>
              <w:fldChar w:fldCharType="begin"/>
            </w:r>
            <w:r w:rsidR="0011381F">
              <w:rPr>
                <w:noProof/>
                <w:webHidden/>
              </w:rPr>
              <w:instrText xml:space="preserve"> PAGEREF _Toc445539588 \h </w:instrText>
            </w:r>
            <w:r w:rsidR="0011381F">
              <w:rPr>
                <w:noProof/>
                <w:webHidden/>
              </w:rPr>
            </w:r>
            <w:r w:rsidR="0011381F">
              <w:rPr>
                <w:noProof/>
                <w:webHidden/>
              </w:rPr>
              <w:fldChar w:fldCharType="separate"/>
            </w:r>
            <w:r w:rsidR="00AE56D7">
              <w:rPr>
                <w:noProof/>
                <w:webHidden/>
              </w:rPr>
              <w:t>10</w:t>
            </w:r>
            <w:r w:rsidR="0011381F">
              <w:rPr>
                <w:noProof/>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89" w:history="1">
            <w:r w:rsidR="0011381F" w:rsidRPr="00282426">
              <w:rPr>
                <w:rStyle w:val="Collegamentoipertestuale"/>
                <w:noProof/>
              </w:rPr>
              <w:t>1.4.</w:t>
            </w:r>
            <w:r w:rsidR="0011381F">
              <w:rPr>
                <w:rFonts w:eastAsiaTheme="minorEastAsia"/>
                <w:noProof/>
                <w:lang w:eastAsia="it-IT"/>
              </w:rPr>
              <w:tab/>
            </w:r>
            <w:r w:rsidR="0011381F" w:rsidRPr="00282426">
              <w:rPr>
                <w:rStyle w:val="Collegamentoipertestuale"/>
                <w:noProof/>
              </w:rPr>
              <w:t>Il futuro del mercato residenziale: le tendenze decennali</w:t>
            </w:r>
            <w:r w:rsidR="0011381F">
              <w:rPr>
                <w:noProof/>
                <w:webHidden/>
              </w:rPr>
              <w:tab/>
            </w:r>
            <w:r w:rsidR="0011381F">
              <w:rPr>
                <w:noProof/>
                <w:webHidden/>
              </w:rPr>
              <w:fldChar w:fldCharType="begin"/>
            </w:r>
            <w:r w:rsidR="0011381F">
              <w:rPr>
                <w:noProof/>
                <w:webHidden/>
              </w:rPr>
              <w:instrText xml:space="preserve"> PAGEREF _Toc445539589 \h </w:instrText>
            </w:r>
            <w:r w:rsidR="0011381F">
              <w:rPr>
                <w:noProof/>
                <w:webHidden/>
              </w:rPr>
            </w:r>
            <w:r w:rsidR="0011381F">
              <w:rPr>
                <w:noProof/>
                <w:webHidden/>
              </w:rPr>
              <w:fldChar w:fldCharType="separate"/>
            </w:r>
            <w:r w:rsidR="00AE56D7">
              <w:rPr>
                <w:noProof/>
                <w:webHidden/>
              </w:rPr>
              <w:t>11</w:t>
            </w:r>
            <w:r w:rsidR="0011381F">
              <w:rPr>
                <w:noProof/>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90" w:history="1">
            <w:r w:rsidR="0011381F" w:rsidRPr="00282426">
              <w:rPr>
                <w:rStyle w:val="Collegamentoipertestuale"/>
                <w:noProof/>
              </w:rPr>
              <w:t>1.5.</w:t>
            </w:r>
            <w:r w:rsidR="0011381F">
              <w:rPr>
                <w:rFonts w:eastAsiaTheme="minorEastAsia"/>
                <w:noProof/>
                <w:lang w:eastAsia="it-IT"/>
              </w:rPr>
              <w:tab/>
            </w:r>
            <w:r w:rsidR="0011381F" w:rsidRPr="00282426">
              <w:rPr>
                <w:rStyle w:val="Collegamentoipertestuale"/>
                <w:noProof/>
              </w:rPr>
              <w:t>Gli andamenti del prossimo triennio: un’analisi di dettaglio</w:t>
            </w:r>
            <w:r w:rsidR="0011381F">
              <w:rPr>
                <w:noProof/>
                <w:webHidden/>
              </w:rPr>
              <w:tab/>
            </w:r>
            <w:r w:rsidR="0011381F">
              <w:rPr>
                <w:noProof/>
                <w:webHidden/>
              </w:rPr>
              <w:fldChar w:fldCharType="begin"/>
            </w:r>
            <w:r w:rsidR="0011381F">
              <w:rPr>
                <w:noProof/>
                <w:webHidden/>
              </w:rPr>
              <w:instrText xml:space="preserve"> PAGEREF _Toc445539590 \h </w:instrText>
            </w:r>
            <w:r w:rsidR="0011381F">
              <w:rPr>
                <w:noProof/>
                <w:webHidden/>
              </w:rPr>
            </w:r>
            <w:r w:rsidR="0011381F">
              <w:rPr>
                <w:noProof/>
                <w:webHidden/>
              </w:rPr>
              <w:fldChar w:fldCharType="separate"/>
            </w:r>
            <w:r w:rsidR="00AE56D7">
              <w:rPr>
                <w:noProof/>
                <w:webHidden/>
              </w:rPr>
              <w:t>15</w:t>
            </w:r>
            <w:r w:rsidR="0011381F">
              <w:rPr>
                <w:noProof/>
                <w:webHidden/>
              </w:rPr>
              <w:fldChar w:fldCharType="end"/>
            </w:r>
          </w:hyperlink>
        </w:p>
        <w:p w:rsidR="0011381F" w:rsidRDefault="009B338E" w:rsidP="007702BE">
          <w:pPr>
            <w:pStyle w:val="Sommario1"/>
            <w:ind w:left="440" w:hanging="440"/>
            <w:rPr>
              <w:rFonts w:eastAsiaTheme="minorEastAsia"/>
              <w:sz w:val="22"/>
              <w:szCs w:val="22"/>
              <w:lang w:eastAsia="it-IT"/>
            </w:rPr>
          </w:pPr>
          <w:hyperlink w:anchor="_Toc445539591" w:history="1">
            <w:r w:rsidR="0011381F" w:rsidRPr="00282426">
              <w:rPr>
                <w:rStyle w:val="Collegamentoipertestuale"/>
              </w:rPr>
              <w:t>2.</w:t>
            </w:r>
            <w:r w:rsidR="0011381F">
              <w:rPr>
                <w:rFonts w:eastAsiaTheme="minorEastAsia"/>
                <w:sz w:val="22"/>
                <w:szCs w:val="22"/>
                <w:lang w:eastAsia="it-IT"/>
              </w:rPr>
              <w:tab/>
            </w:r>
            <w:r w:rsidR="0011381F" w:rsidRPr="00282426">
              <w:rPr>
                <w:rStyle w:val="Collegamentoipertestuale"/>
              </w:rPr>
              <w:t>Le prospettive e le analisi 2016-2018: un approfondimento con l’indagine presso tecnici e valutatori e il REI (Real Estate Italia) Index</w:t>
            </w:r>
            <w:r w:rsidR="0011381F">
              <w:rPr>
                <w:webHidden/>
              </w:rPr>
              <w:tab/>
            </w:r>
            <w:r w:rsidR="0011381F">
              <w:rPr>
                <w:webHidden/>
              </w:rPr>
              <w:fldChar w:fldCharType="begin"/>
            </w:r>
            <w:r w:rsidR="0011381F">
              <w:rPr>
                <w:webHidden/>
              </w:rPr>
              <w:instrText xml:space="preserve"> PAGEREF _Toc445539591 \h </w:instrText>
            </w:r>
            <w:r w:rsidR="0011381F">
              <w:rPr>
                <w:webHidden/>
              </w:rPr>
            </w:r>
            <w:r w:rsidR="0011381F">
              <w:rPr>
                <w:webHidden/>
              </w:rPr>
              <w:fldChar w:fldCharType="separate"/>
            </w:r>
            <w:r w:rsidR="00AE56D7">
              <w:rPr>
                <w:webHidden/>
              </w:rPr>
              <w:t>18</w:t>
            </w:r>
            <w:r w:rsidR="0011381F">
              <w:rPr>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92" w:history="1">
            <w:r w:rsidR="0011381F" w:rsidRPr="00282426">
              <w:rPr>
                <w:rStyle w:val="Collegamentoipertestuale"/>
                <w:noProof/>
              </w:rPr>
              <w:t>2.1.</w:t>
            </w:r>
            <w:r w:rsidR="0011381F">
              <w:rPr>
                <w:rFonts w:eastAsiaTheme="minorEastAsia"/>
                <w:noProof/>
                <w:lang w:eastAsia="it-IT"/>
              </w:rPr>
              <w:tab/>
            </w:r>
            <w:r w:rsidR="0011381F" w:rsidRPr="00282426">
              <w:rPr>
                <w:rStyle w:val="Collegamentoipertestuale"/>
                <w:noProof/>
              </w:rPr>
              <w:t>Nel residenziale l’usato sarà il driver già nel 2016</w:t>
            </w:r>
            <w:r w:rsidR="0011381F">
              <w:rPr>
                <w:noProof/>
                <w:webHidden/>
              </w:rPr>
              <w:tab/>
            </w:r>
            <w:r w:rsidR="0011381F">
              <w:rPr>
                <w:noProof/>
                <w:webHidden/>
              </w:rPr>
              <w:fldChar w:fldCharType="begin"/>
            </w:r>
            <w:r w:rsidR="0011381F">
              <w:rPr>
                <w:noProof/>
                <w:webHidden/>
              </w:rPr>
              <w:instrText xml:space="preserve"> PAGEREF _Toc445539592 \h </w:instrText>
            </w:r>
            <w:r w:rsidR="0011381F">
              <w:rPr>
                <w:noProof/>
                <w:webHidden/>
              </w:rPr>
            </w:r>
            <w:r w:rsidR="0011381F">
              <w:rPr>
                <w:noProof/>
                <w:webHidden/>
              </w:rPr>
              <w:fldChar w:fldCharType="separate"/>
            </w:r>
            <w:r w:rsidR="00AE56D7">
              <w:rPr>
                <w:noProof/>
                <w:webHidden/>
              </w:rPr>
              <w:t>18</w:t>
            </w:r>
            <w:r w:rsidR="0011381F">
              <w:rPr>
                <w:noProof/>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93" w:history="1">
            <w:r w:rsidR="0011381F" w:rsidRPr="00282426">
              <w:rPr>
                <w:rStyle w:val="Collegamentoipertestuale"/>
                <w:noProof/>
              </w:rPr>
              <w:t>2.2.</w:t>
            </w:r>
            <w:r w:rsidR="0011381F">
              <w:rPr>
                <w:rFonts w:eastAsiaTheme="minorEastAsia"/>
                <w:noProof/>
                <w:lang w:eastAsia="it-IT"/>
              </w:rPr>
              <w:tab/>
            </w:r>
            <w:r w:rsidR="0011381F" w:rsidRPr="00282426">
              <w:rPr>
                <w:rStyle w:val="Collegamentoipertestuale"/>
                <w:noProof/>
              </w:rPr>
              <w:t>Ancora in sofferenza gli immobili per il terziario</w:t>
            </w:r>
            <w:r w:rsidR="0011381F">
              <w:rPr>
                <w:noProof/>
                <w:webHidden/>
              </w:rPr>
              <w:tab/>
            </w:r>
            <w:r w:rsidR="0011381F">
              <w:rPr>
                <w:noProof/>
                <w:webHidden/>
              </w:rPr>
              <w:fldChar w:fldCharType="begin"/>
            </w:r>
            <w:r w:rsidR="0011381F">
              <w:rPr>
                <w:noProof/>
                <w:webHidden/>
              </w:rPr>
              <w:instrText xml:space="preserve"> PAGEREF _Toc445539593 \h </w:instrText>
            </w:r>
            <w:r w:rsidR="0011381F">
              <w:rPr>
                <w:noProof/>
                <w:webHidden/>
              </w:rPr>
            </w:r>
            <w:r w:rsidR="0011381F">
              <w:rPr>
                <w:noProof/>
                <w:webHidden/>
              </w:rPr>
              <w:fldChar w:fldCharType="separate"/>
            </w:r>
            <w:r w:rsidR="00AE56D7">
              <w:rPr>
                <w:noProof/>
                <w:webHidden/>
              </w:rPr>
              <w:t>20</w:t>
            </w:r>
            <w:r w:rsidR="0011381F">
              <w:rPr>
                <w:noProof/>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94" w:history="1">
            <w:r w:rsidR="0011381F" w:rsidRPr="00282426">
              <w:rPr>
                <w:rStyle w:val="Collegamentoipertestuale"/>
                <w:noProof/>
              </w:rPr>
              <w:t>2.3.</w:t>
            </w:r>
            <w:r w:rsidR="0011381F">
              <w:rPr>
                <w:rFonts w:eastAsiaTheme="minorEastAsia"/>
                <w:noProof/>
                <w:lang w:eastAsia="it-IT"/>
              </w:rPr>
              <w:tab/>
            </w:r>
            <w:r w:rsidR="0011381F" w:rsidRPr="00282426">
              <w:rPr>
                <w:rStyle w:val="Collegamentoipertestuale"/>
                <w:noProof/>
              </w:rPr>
              <w:t xml:space="preserve">Nettamente positivo il </w:t>
            </w:r>
            <w:r w:rsidR="0011381F" w:rsidRPr="00282426">
              <w:rPr>
                <w:rStyle w:val="Collegamentoipertestuale"/>
                <w:i/>
                <w:noProof/>
              </w:rPr>
              <w:t>sentiment</w:t>
            </w:r>
            <w:r w:rsidR="0011381F" w:rsidRPr="00282426">
              <w:rPr>
                <w:rStyle w:val="Collegamentoipertestuale"/>
                <w:noProof/>
              </w:rPr>
              <w:t xml:space="preserve"> degli operatori</w:t>
            </w:r>
            <w:r w:rsidR="0011381F">
              <w:rPr>
                <w:noProof/>
                <w:webHidden/>
              </w:rPr>
              <w:tab/>
            </w:r>
            <w:r w:rsidR="0011381F">
              <w:rPr>
                <w:noProof/>
                <w:webHidden/>
              </w:rPr>
              <w:fldChar w:fldCharType="begin"/>
            </w:r>
            <w:r w:rsidR="0011381F">
              <w:rPr>
                <w:noProof/>
                <w:webHidden/>
              </w:rPr>
              <w:instrText xml:space="preserve"> PAGEREF _Toc445539594 \h </w:instrText>
            </w:r>
            <w:r w:rsidR="0011381F">
              <w:rPr>
                <w:noProof/>
                <w:webHidden/>
              </w:rPr>
            </w:r>
            <w:r w:rsidR="0011381F">
              <w:rPr>
                <w:noProof/>
                <w:webHidden/>
              </w:rPr>
              <w:fldChar w:fldCharType="separate"/>
            </w:r>
            <w:r w:rsidR="00AE56D7">
              <w:rPr>
                <w:noProof/>
                <w:webHidden/>
              </w:rPr>
              <w:t>23</w:t>
            </w:r>
            <w:r w:rsidR="0011381F">
              <w:rPr>
                <w:noProof/>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95" w:history="1">
            <w:r w:rsidR="0011381F" w:rsidRPr="00282426">
              <w:rPr>
                <w:rStyle w:val="Collegamentoipertestuale"/>
                <w:noProof/>
              </w:rPr>
              <w:t>2.4.</w:t>
            </w:r>
            <w:r w:rsidR="0011381F">
              <w:rPr>
                <w:rFonts w:eastAsiaTheme="minorEastAsia"/>
                <w:noProof/>
                <w:lang w:eastAsia="it-IT"/>
              </w:rPr>
              <w:tab/>
            </w:r>
            <w:r w:rsidR="0011381F" w:rsidRPr="00282426">
              <w:rPr>
                <w:rStyle w:val="Collegamentoipertestuale"/>
                <w:noProof/>
              </w:rPr>
              <w:t>Il REI (Real Estate Italia) Index</w:t>
            </w:r>
            <w:r w:rsidR="0011381F">
              <w:rPr>
                <w:noProof/>
                <w:webHidden/>
              </w:rPr>
              <w:tab/>
            </w:r>
            <w:r w:rsidR="0011381F">
              <w:rPr>
                <w:noProof/>
                <w:webHidden/>
              </w:rPr>
              <w:fldChar w:fldCharType="begin"/>
            </w:r>
            <w:r w:rsidR="0011381F">
              <w:rPr>
                <w:noProof/>
                <w:webHidden/>
              </w:rPr>
              <w:instrText xml:space="preserve"> PAGEREF _Toc445539595 \h </w:instrText>
            </w:r>
            <w:r w:rsidR="0011381F">
              <w:rPr>
                <w:noProof/>
                <w:webHidden/>
              </w:rPr>
            </w:r>
            <w:r w:rsidR="0011381F">
              <w:rPr>
                <w:noProof/>
                <w:webHidden/>
              </w:rPr>
              <w:fldChar w:fldCharType="separate"/>
            </w:r>
            <w:r w:rsidR="00AE56D7">
              <w:rPr>
                <w:noProof/>
                <w:webHidden/>
              </w:rPr>
              <w:t>24</w:t>
            </w:r>
            <w:r w:rsidR="0011381F">
              <w:rPr>
                <w:noProof/>
                <w:webHidden/>
              </w:rPr>
              <w:fldChar w:fldCharType="end"/>
            </w:r>
          </w:hyperlink>
        </w:p>
        <w:p w:rsidR="0011381F" w:rsidRDefault="009B338E" w:rsidP="007702BE">
          <w:pPr>
            <w:pStyle w:val="Sommario1"/>
            <w:rPr>
              <w:rFonts w:eastAsiaTheme="minorEastAsia"/>
              <w:sz w:val="22"/>
              <w:szCs w:val="22"/>
              <w:lang w:eastAsia="it-IT"/>
            </w:rPr>
          </w:pPr>
          <w:hyperlink w:anchor="_Toc445539596" w:history="1">
            <w:r w:rsidR="0011381F" w:rsidRPr="00282426">
              <w:rPr>
                <w:rStyle w:val="Collegamentoipertestuale"/>
              </w:rPr>
              <w:t>3.</w:t>
            </w:r>
            <w:r w:rsidR="0011381F">
              <w:rPr>
                <w:rFonts w:eastAsiaTheme="minorEastAsia"/>
                <w:sz w:val="22"/>
                <w:szCs w:val="22"/>
                <w:lang w:eastAsia="it-IT"/>
              </w:rPr>
              <w:tab/>
            </w:r>
            <w:r w:rsidR="0011381F" w:rsidRPr="00282426">
              <w:rPr>
                <w:rStyle w:val="Collegamentoipertestuale"/>
              </w:rPr>
              <w:t>I mutamenti di assetto del mercato</w:t>
            </w:r>
            <w:r w:rsidR="0011381F">
              <w:rPr>
                <w:webHidden/>
              </w:rPr>
              <w:tab/>
            </w:r>
            <w:r w:rsidR="0011381F">
              <w:rPr>
                <w:webHidden/>
              </w:rPr>
              <w:fldChar w:fldCharType="begin"/>
            </w:r>
            <w:r w:rsidR="0011381F">
              <w:rPr>
                <w:webHidden/>
              </w:rPr>
              <w:instrText xml:space="preserve"> PAGEREF _Toc445539596 \h </w:instrText>
            </w:r>
            <w:r w:rsidR="0011381F">
              <w:rPr>
                <w:webHidden/>
              </w:rPr>
            </w:r>
            <w:r w:rsidR="0011381F">
              <w:rPr>
                <w:webHidden/>
              </w:rPr>
              <w:fldChar w:fldCharType="separate"/>
            </w:r>
            <w:r w:rsidR="00AE56D7">
              <w:rPr>
                <w:webHidden/>
              </w:rPr>
              <w:t>31</w:t>
            </w:r>
            <w:r w:rsidR="0011381F">
              <w:rPr>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97" w:history="1">
            <w:r w:rsidR="0011381F" w:rsidRPr="00282426">
              <w:rPr>
                <w:rStyle w:val="Collegamentoipertestuale"/>
                <w:noProof/>
              </w:rPr>
              <w:t>3.1.</w:t>
            </w:r>
            <w:r w:rsidR="0011381F">
              <w:rPr>
                <w:rFonts w:eastAsiaTheme="minorEastAsia"/>
                <w:noProof/>
                <w:lang w:eastAsia="it-IT"/>
              </w:rPr>
              <w:tab/>
            </w:r>
            <w:r w:rsidR="0011381F" w:rsidRPr="00282426">
              <w:rPr>
                <w:rStyle w:val="Collegamentoipertestuale"/>
                <w:noProof/>
              </w:rPr>
              <w:t>Formazione dei prezzi, tempi di collocazione e servizi immobiliari</w:t>
            </w:r>
            <w:r w:rsidR="0011381F">
              <w:rPr>
                <w:noProof/>
                <w:webHidden/>
              </w:rPr>
              <w:tab/>
            </w:r>
            <w:r w:rsidR="0011381F">
              <w:rPr>
                <w:noProof/>
                <w:webHidden/>
              </w:rPr>
              <w:fldChar w:fldCharType="begin"/>
            </w:r>
            <w:r w:rsidR="0011381F">
              <w:rPr>
                <w:noProof/>
                <w:webHidden/>
              </w:rPr>
              <w:instrText xml:space="preserve"> PAGEREF _Toc445539597 \h </w:instrText>
            </w:r>
            <w:r w:rsidR="0011381F">
              <w:rPr>
                <w:noProof/>
                <w:webHidden/>
              </w:rPr>
            </w:r>
            <w:r w:rsidR="0011381F">
              <w:rPr>
                <w:noProof/>
                <w:webHidden/>
              </w:rPr>
              <w:fldChar w:fldCharType="separate"/>
            </w:r>
            <w:r w:rsidR="00AE56D7">
              <w:rPr>
                <w:noProof/>
                <w:webHidden/>
              </w:rPr>
              <w:t>31</w:t>
            </w:r>
            <w:r w:rsidR="0011381F">
              <w:rPr>
                <w:noProof/>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98" w:history="1">
            <w:r w:rsidR="0011381F" w:rsidRPr="00282426">
              <w:rPr>
                <w:rStyle w:val="Collegamentoipertestuale"/>
                <w:noProof/>
              </w:rPr>
              <w:t>3.2.</w:t>
            </w:r>
            <w:r w:rsidR="0011381F">
              <w:rPr>
                <w:rFonts w:eastAsiaTheme="minorEastAsia"/>
                <w:noProof/>
                <w:lang w:eastAsia="it-IT"/>
              </w:rPr>
              <w:tab/>
            </w:r>
            <w:r w:rsidR="0011381F" w:rsidRPr="00282426">
              <w:rPr>
                <w:rStyle w:val="Collegamentoipertestuale"/>
                <w:noProof/>
              </w:rPr>
              <w:t>Il ruolo del credito e la fiducia degli operatori</w:t>
            </w:r>
            <w:r w:rsidR="0011381F">
              <w:rPr>
                <w:noProof/>
                <w:webHidden/>
              </w:rPr>
              <w:tab/>
            </w:r>
            <w:r w:rsidR="0011381F">
              <w:rPr>
                <w:noProof/>
                <w:webHidden/>
              </w:rPr>
              <w:fldChar w:fldCharType="begin"/>
            </w:r>
            <w:r w:rsidR="0011381F">
              <w:rPr>
                <w:noProof/>
                <w:webHidden/>
              </w:rPr>
              <w:instrText xml:space="preserve"> PAGEREF _Toc445539598 \h </w:instrText>
            </w:r>
            <w:r w:rsidR="0011381F">
              <w:rPr>
                <w:noProof/>
                <w:webHidden/>
              </w:rPr>
            </w:r>
            <w:r w:rsidR="0011381F">
              <w:rPr>
                <w:noProof/>
                <w:webHidden/>
              </w:rPr>
              <w:fldChar w:fldCharType="separate"/>
            </w:r>
            <w:r w:rsidR="00AE56D7">
              <w:rPr>
                <w:noProof/>
                <w:webHidden/>
              </w:rPr>
              <w:t>35</w:t>
            </w:r>
            <w:r w:rsidR="0011381F">
              <w:rPr>
                <w:noProof/>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599" w:history="1">
            <w:r w:rsidR="0011381F" w:rsidRPr="00282426">
              <w:rPr>
                <w:rStyle w:val="Collegamentoipertestuale"/>
                <w:noProof/>
              </w:rPr>
              <w:t>3.3.</w:t>
            </w:r>
            <w:r w:rsidR="0011381F">
              <w:rPr>
                <w:rFonts w:eastAsiaTheme="minorEastAsia"/>
                <w:noProof/>
                <w:lang w:eastAsia="it-IT"/>
              </w:rPr>
              <w:tab/>
            </w:r>
            <w:r w:rsidR="0011381F" w:rsidRPr="00282426">
              <w:rPr>
                <w:rStyle w:val="Collegamentoipertestuale"/>
                <w:noProof/>
              </w:rPr>
              <w:t>L’andamento dei mutui e delle aste giudiziarie</w:t>
            </w:r>
            <w:r w:rsidR="0011381F">
              <w:rPr>
                <w:noProof/>
                <w:webHidden/>
              </w:rPr>
              <w:tab/>
            </w:r>
            <w:r w:rsidR="0011381F">
              <w:rPr>
                <w:noProof/>
                <w:webHidden/>
              </w:rPr>
              <w:fldChar w:fldCharType="begin"/>
            </w:r>
            <w:r w:rsidR="0011381F">
              <w:rPr>
                <w:noProof/>
                <w:webHidden/>
              </w:rPr>
              <w:instrText xml:space="preserve"> PAGEREF _Toc445539599 \h </w:instrText>
            </w:r>
            <w:r w:rsidR="0011381F">
              <w:rPr>
                <w:noProof/>
                <w:webHidden/>
              </w:rPr>
            </w:r>
            <w:r w:rsidR="0011381F">
              <w:rPr>
                <w:noProof/>
                <w:webHidden/>
              </w:rPr>
              <w:fldChar w:fldCharType="separate"/>
            </w:r>
            <w:r w:rsidR="00AE56D7">
              <w:rPr>
                <w:noProof/>
                <w:webHidden/>
              </w:rPr>
              <w:t>37</w:t>
            </w:r>
            <w:r w:rsidR="0011381F">
              <w:rPr>
                <w:noProof/>
                <w:webHidden/>
              </w:rPr>
              <w:fldChar w:fldCharType="end"/>
            </w:r>
          </w:hyperlink>
        </w:p>
        <w:p w:rsidR="0011381F" w:rsidRDefault="009B338E" w:rsidP="007702BE">
          <w:pPr>
            <w:pStyle w:val="Sommario1"/>
            <w:rPr>
              <w:rFonts w:eastAsiaTheme="minorEastAsia"/>
              <w:sz w:val="22"/>
              <w:szCs w:val="22"/>
              <w:lang w:eastAsia="it-IT"/>
            </w:rPr>
          </w:pPr>
          <w:hyperlink w:anchor="_Toc445539600" w:history="1">
            <w:r w:rsidR="0011381F" w:rsidRPr="00282426">
              <w:rPr>
                <w:rStyle w:val="Collegamentoipertestuale"/>
              </w:rPr>
              <w:t>4.</w:t>
            </w:r>
            <w:r w:rsidR="0011381F">
              <w:rPr>
                <w:rFonts w:eastAsiaTheme="minorEastAsia"/>
                <w:sz w:val="22"/>
                <w:szCs w:val="22"/>
                <w:lang w:eastAsia="it-IT"/>
              </w:rPr>
              <w:tab/>
            </w:r>
            <w:r w:rsidR="0011381F" w:rsidRPr="00282426">
              <w:rPr>
                <w:rStyle w:val="Collegamentoipertestuale"/>
              </w:rPr>
              <w:t>Le dinamiche del territorio</w:t>
            </w:r>
            <w:r w:rsidR="0011381F">
              <w:rPr>
                <w:webHidden/>
              </w:rPr>
              <w:tab/>
            </w:r>
            <w:r w:rsidR="0011381F">
              <w:rPr>
                <w:webHidden/>
              </w:rPr>
              <w:fldChar w:fldCharType="begin"/>
            </w:r>
            <w:r w:rsidR="0011381F">
              <w:rPr>
                <w:webHidden/>
              </w:rPr>
              <w:instrText xml:space="preserve"> PAGEREF _Toc445539600 \h </w:instrText>
            </w:r>
            <w:r w:rsidR="0011381F">
              <w:rPr>
                <w:webHidden/>
              </w:rPr>
            </w:r>
            <w:r w:rsidR="0011381F">
              <w:rPr>
                <w:webHidden/>
              </w:rPr>
              <w:fldChar w:fldCharType="separate"/>
            </w:r>
            <w:r w:rsidR="00AE56D7">
              <w:rPr>
                <w:webHidden/>
              </w:rPr>
              <w:t>40</w:t>
            </w:r>
            <w:r w:rsidR="0011381F">
              <w:rPr>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601" w:history="1">
            <w:r w:rsidR="0011381F" w:rsidRPr="00282426">
              <w:rPr>
                <w:rStyle w:val="Collegamentoipertestuale"/>
                <w:noProof/>
              </w:rPr>
              <w:t>4.1.</w:t>
            </w:r>
            <w:r w:rsidR="0011381F">
              <w:rPr>
                <w:rFonts w:eastAsiaTheme="minorEastAsia"/>
                <w:noProof/>
                <w:lang w:eastAsia="it-IT"/>
              </w:rPr>
              <w:tab/>
            </w:r>
            <w:r w:rsidR="0011381F" w:rsidRPr="00282426">
              <w:rPr>
                <w:rStyle w:val="Collegamentoipertestuale"/>
                <w:noProof/>
              </w:rPr>
              <w:t>Una tiepida ripresa aspettando il rilancio</w:t>
            </w:r>
            <w:r w:rsidR="0011381F">
              <w:rPr>
                <w:noProof/>
                <w:webHidden/>
              </w:rPr>
              <w:tab/>
            </w:r>
            <w:r w:rsidR="0011381F">
              <w:rPr>
                <w:noProof/>
                <w:webHidden/>
              </w:rPr>
              <w:fldChar w:fldCharType="begin"/>
            </w:r>
            <w:r w:rsidR="0011381F">
              <w:rPr>
                <w:noProof/>
                <w:webHidden/>
              </w:rPr>
              <w:instrText xml:space="preserve"> PAGEREF _Toc445539601 \h </w:instrText>
            </w:r>
            <w:r w:rsidR="0011381F">
              <w:rPr>
                <w:noProof/>
                <w:webHidden/>
              </w:rPr>
            </w:r>
            <w:r w:rsidR="0011381F">
              <w:rPr>
                <w:noProof/>
                <w:webHidden/>
              </w:rPr>
              <w:fldChar w:fldCharType="separate"/>
            </w:r>
            <w:r w:rsidR="00AE56D7">
              <w:rPr>
                <w:noProof/>
                <w:webHidden/>
              </w:rPr>
              <w:t>40</w:t>
            </w:r>
            <w:r w:rsidR="0011381F">
              <w:rPr>
                <w:noProof/>
                <w:webHidden/>
              </w:rPr>
              <w:fldChar w:fldCharType="end"/>
            </w:r>
          </w:hyperlink>
        </w:p>
        <w:p w:rsidR="0011381F" w:rsidRDefault="009B338E" w:rsidP="0011381F">
          <w:pPr>
            <w:pStyle w:val="Sommario2"/>
            <w:tabs>
              <w:tab w:val="left" w:pos="880"/>
              <w:tab w:val="right" w:leader="dot" w:pos="8494"/>
            </w:tabs>
            <w:spacing w:before="120" w:after="120"/>
            <w:rPr>
              <w:rFonts w:eastAsiaTheme="minorEastAsia"/>
              <w:noProof/>
              <w:lang w:eastAsia="it-IT"/>
            </w:rPr>
          </w:pPr>
          <w:hyperlink w:anchor="_Toc445539602" w:history="1">
            <w:r w:rsidR="0011381F" w:rsidRPr="00282426">
              <w:rPr>
                <w:rStyle w:val="Collegamentoipertestuale"/>
                <w:noProof/>
              </w:rPr>
              <w:t>4.2.</w:t>
            </w:r>
            <w:r w:rsidR="0011381F">
              <w:rPr>
                <w:rFonts w:eastAsiaTheme="minorEastAsia"/>
                <w:noProof/>
                <w:lang w:eastAsia="it-IT"/>
              </w:rPr>
              <w:tab/>
            </w:r>
            <w:r w:rsidR="0011381F" w:rsidRPr="00282426">
              <w:rPr>
                <w:rStyle w:val="Collegamentoipertestuale"/>
                <w:noProof/>
              </w:rPr>
              <w:t>La rigenerazione urbana</w:t>
            </w:r>
            <w:r w:rsidR="0011381F">
              <w:rPr>
                <w:noProof/>
                <w:webHidden/>
              </w:rPr>
              <w:tab/>
            </w:r>
            <w:r w:rsidR="0011381F">
              <w:rPr>
                <w:noProof/>
                <w:webHidden/>
              </w:rPr>
              <w:fldChar w:fldCharType="begin"/>
            </w:r>
            <w:r w:rsidR="0011381F">
              <w:rPr>
                <w:noProof/>
                <w:webHidden/>
              </w:rPr>
              <w:instrText xml:space="preserve"> PAGEREF _Toc445539602 \h </w:instrText>
            </w:r>
            <w:r w:rsidR="0011381F">
              <w:rPr>
                <w:noProof/>
                <w:webHidden/>
              </w:rPr>
            </w:r>
            <w:r w:rsidR="0011381F">
              <w:rPr>
                <w:noProof/>
                <w:webHidden/>
              </w:rPr>
              <w:fldChar w:fldCharType="separate"/>
            </w:r>
            <w:r w:rsidR="00AE56D7">
              <w:rPr>
                <w:noProof/>
                <w:webHidden/>
              </w:rPr>
              <w:t>43</w:t>
            </w:r>
            <w:r w:rsidR="0011381F">
              <w:rPr>
                <w:noProof/>
                <w:webHidden/>
              </w:rPr>
              <w:fldChar w:fldCharType="end"/>
            </w:r>
          </w:hyperlink>
        </w:p>
        <w:p w:rsidR="0011381F" w:rsidRDefault="009B338E" w:rsidP="007702BE">
          <w:pPr>
            <w:pStyle w:val="Sommario1"/>
            <w:rPr>
              <w:rStyle w:val="Collegamentoipertestuale"/>
            </w:rPr>
          </w:pPr>
          <w:hyperlink w:anchor="_Toc445539603" w:history="1">
            <w:r w:rsidR="0011381F" w:rsidRPr="00282426">
              <w:rPr>
                <w:rStyle w:val="Collegamentoipertestuale"/>
              </w:rPr>
              <w:t>5.</w:t>
            </w:r>
            <w:r w:rsidR="0011381F">
              <w:rPr>
                <w:rFonts w:eastAsiaTheme="minorEastAsia"/>
                <w:sz w:val="22"/>
                <w:szCs w:val="22"/>
                <w:lang w:eastAsia="it-IT"/>
              </w:rPr>
              <w:tab/>
            </w:r>
            <w:r w:rsidR="0011381F" w:rsidRPr="00282426">
              <w:rPr>
                <w:rStyle w:val="Collegamentoipertestuale"/>
              </w:rPr>
              <w:t>La “granularità” del sistema territoriale</w:t>
            </w:r>
            <w:r w:rsidR="0011381F">
              <w:rPr>
                <w:webHidden/>
              </w:rPr>
              <w:tab/>
            </w:r>
            <w:r w:rsidR="0011381F">
              <w:rPr>
                <w:webHidden/>
              </w:rPr>
              <w:fldChar w:fldCharType="begin"/>
            </w:r>
            <w:r w:rsidR="0011381F">
              <w:rPr>
                <w:webHidden/>
              </w:rPr>
              <w:instrText xml:space="preserve"> PAGEREF _Toc445539603 \h </w:instrText>
            </w:r>
            <w:r w:rsidR="0011381F">
              <w:rPr>
                <w:webHidden/>
              </w:rPr>
            </w:r>
            <w:r w:rsidR="0011381F">
              <w:rPr>
                <w:webHidden/>
              </w:rPr>
              <w:fldChar w:fldCharType="separate"/>
            </w:r>
            <w:r w:rsidR="00AE56D7">
              <w:rPr>
                <w:webHidden/>
              </w:rPr>
              <w:t>46</w:t>
            </w:r>
            <w:r w:rsidR="0011381F">
              <w:rPr>
                <w:webHidden/>
              </w:rPr>
              <w:fldChar w:fldCharType="end"/>
            </w:r>
          </w:hyperlink>
        </w:p>
        <w:p w:rsidR="0011381F" w:rsidRPr="0011381F" w:rsidRDefault="0011381F" w:rsidP="0011381F">
          <w:pPr>
            <w:rPr>
              <w:noProof/>
            </w:rPr>
          </w:pPr>
        </w:p>
        <w:p w:rsidR="0011381F" w:rsidRDefault="009B338E" w:rsidP="007702BE">
          <w:pPr>
            <w:pStyle w:val="Sommario1"/>
            <w:rPr>
              <w:rFonts w:eastAsiaTheme="minorEastAsia"/>
              <w:sz w:val="22"/>
              <w:szCs w:val="22"/>
              <w:lang w:eastAsia="it-IT"/>
            </w:rPr>
          </w:pPr>
          <w:hyperlink w:anchor="_Toc445539604" w:history="1">
            <w:r w:rsidR="0011381F" w:rsidRPr="00282426">
              <w:rPr>
                <w:rStyle w:val="Collegamentoipertestuale"/>
              </w:rPr>
              <w:t>Appendice Metodologica</w:t>
            </w:r>
            <w:r w:rsidR="0011381F">
              <w:rPr>
                <w:webHidden/>
              </w:rPr>
              <w:tab/>
            </w:r>
            <w:r w:rsidR="0011381F">
              <w:rPr>
                <w:webHidden/>
              </w:rPr>
              <w:fldChar w:fldCharType="begin"/>
            </w:r>
            <w:r w:rsidR="0011381F">
              <w:rPr>
                <w:webHidden/>
              </w:rPr>
              <w:instrText xml:space="preserve"> PAGEREF _Toc445539604 \h </w:instrText>
            </w:r>
            <w:r w:rsidR="0011381F">
              <w:rPr>
                <w:webHidden/>
              </w:rPr>
            </w:r>
            <w:r w:rsidR="0011381F">
              <w:rPr>
                <w:webHidden/>
              </w:rPr>
              <w:fldChar w:fldCharType="separate"/>
            </w:r>
            <w:r w:rsidR="00AE56D7">
              <w:rPr>
                <w:webHidden/>
              </w:rPr>
              <w:t>51</w:t>
            </w:r>
            <w:r w:rsidR="0011381F">
              <w:rPr>
                <w:webHidden/>
              </w:rPr>
              <w:fldChar w:fldCharType="end"/>
            </w:r>
          </w:hyperlink>
        </w:p>
        <w:p w:rsidR="00216449" w:rsidRPr="006530A7" w:rsidRDefault="00216449">
          <w:pPr>
            <w:rPr>
              <w:sz w:val="24"/>
              <w:szCs w:val="24"/>
            </w:rPr>
          </w:pPr>
          <w:r w:rsidRPr="00A42230">
            <w:rPr>
              <w:b/>
              <w:bCs/>
              <w:sz w:val="24"/>
              <w:szCs w:val="24"/>
              <w:highlight w:val="yellow"/>
            </w:rPr>
            <w:fldChar w:fldCharType="end"/>
          </w:r>
        </w:p>
      </w:sdtContent>
    </w:sdt>
    <w:p w:rsidR="0023366A" w:rsidRPr="006530A7" w:rsidRDefault="0023366A" w:rsidP="0023366A">
      <w:pPr>
        <w:pStyle w:val="Paragrafoelenco"/>
        <w:rPr>
          <w:b/>
        </w:rPr>
      </w:pPr>
    </w:p>
    <w:p w:rsidR="00605AE6" w:rsidRPr="006530A7" w:rsidRDefault="00605AE6" w:rsidP="00CF4D51">
      <w:pPr>
        <w:rPr>
          <w:b/>
          <w:sz w:val="32"/>
          <w:szCs w:val="32"/>
        </w:rPr>
      </w:pPr>
    </w:p>
    <w:p w:rsidR="00730B40" w:rsidRPr="006530A7" w:rsidRDefault="00730B40" w:rsidP="00F155A3">
      <w:pPr>
        <w:pStyle w:val="Titolo1"/>
        <w:jc w:val="center"/>
        <w:rPr>
          <w:rFonts w:asciiTheme="minorHAnsi" w:hAnsiTheme="minorHAnsi"/>
          <w:color w:val="auto"/>
          <w:sz w:val="32"/>
          <w:szCs w:val="32"/>
        </w:rPr>
      </w:pPr>
      <w:bookmarkStart w:id="1" w:name="_Toc445539584"/>
      <w:r w:rsidRPr="006530A7">
        <w:rPr>
          <w:rFonts w:asciiTheme="minorHAnsi" w:hAnsiTheme="minorHAnsi"/>
          <w:color w:val="auto"/>
          <w:sz w:val="32"/>
          <w:szCs w:val="32"/>
        </w:rPr>
        <w:lastRenderedPageBreak/>
        <w:t>Nota introduttiva</w:t>
      </w:r>
      <w:bookmarkEnd w:id="1"/>
    </w:p>
    <w:p w:rsidR="00605AE6" w:rsidRPr="006530A7" w:rsidRDefault="00605AE6" w:rsidP="00730B40">
      <w:pPr>
        <w:jc w:val="center"/>
        <w:rPr>
          <w:b/>
          <w:sz w:val="32"/>
          <w:szCs w:val="32"/>
        </w:rPr>
      </w:pPr>
    </w:p>
    <w:p w:rsidR="00730B40" w:rsidRPr="006530A7" w:rsidRDefault="00730B40" w:rsidP="00F463C6">
      <w:pPr>
        <w:spacing w:before="120" w:after="120"/>
        <w:jc w:val="both"/>
        <w:rPr>
          <w:i/>
          <w:sz w:val="24"/>
          <w:szCs w:val="24"/>
        </w:rPr>
      </w:pPr>
      <w:r w:rsidRPr="006530A7">
        <w:rPr>
          <w:i/>
          <w:sz w:val="24"/>
          <w:szCs w:val="24"/>
        </w:rPr>
        <w:t xml:space="preserve">Il presente Rapporto è stato realizzato seguendo </w:t>
      </w:r>
      <w:r w:rsidR="00DB6CCE" w:rsidRPr="006530A7">
        <w:rPr>
          <w:i/>
          <w:sz w:val="24"/>
          <w:szCs w:val="24"/>
        </w:rPr>
        <w:t>le</w:t>
      </w:r>
      <w:r w:rsidRPr="006530A7">
        <w:rPr>
          <w:i/>
          <w:sz w:val="24"/>
          <w:szCs w:val="24"/>
        </w:rPr>
        <w:t xml:space="preserve"> più avanzat</w:t>
      </w:r>
      <w:r w:rsidR="00DB6CCE" w:rsidRPr="006530A7">
        <w:rPr>
          <w:i/>
          <w:sz w:val="24"/>
          <w:szCs w:val="24"/>
        </w:rPr>
        <w:t>e metodologi</w:t>
      </w:r>
      <w:r w:rsidR="005C1048" w:rsidRPr="006530A7">
        <w:rPr>
          <w:i/>
          <w:sz w:val="24"/>
          <w:szCs w:val="24"/>
        </w:rPr>
        <w:t>e</w:t>
      </w:r>
      <w:r w:rsidR="00DB6CCE" w:rsidRPr="006530A7">
        <w:rPr>
          <w:i/>
          <w:sz w:val="24"/>
          <w:szCs w:val="24"/>
        </w:rPr>
        <w:t xml:space="preserve"> e in conformità agli</w:t>
      </w:r>
      <w:r w:rsidRPr="006530A7">
        <w:rPr>
          <w:i/>
          <w:sz w:val="24"/>
          <w:szCs w:val="24"/>
        </w:rPr>
        <w:t xml:space="preserve"> standard scientifici internazionali</w:t>
      </w:r>
      <w:r w:rsidR="00DB6CCE" w:rsidRPr="006530A7">
        <w:rPr>
          <w:i/>
          <w:sz w:val="24"/>
          <w:szCs w:val="24"/>
        </w:rPr>
        <w:t>,</w:t>
      </w:r>
      <w:r w:rsidRPr="006530A7">
        <w:rPr>
          <w:i/>
          <w:sz w:val="24"/>
          <w:szCs w:val="24"/>
        </w:rPr>
        <w:t xml:space="preserve"> con la consapevolezza che le</w:t>
      </w:r>
      <w:r w:rsidR="0078590F" w:rsidRPr="006530A7">
        <w:rPr>
          <w:i/>
          <w:sz w:val="24"/>
          <w:szCs w:val="24"/>
        </w:rPr>
        <w:t xml:space="preserve"> ricerche</w:t>
      </w:r>
      <w:r w:rsidRPr="006530A7">
        <w:rPr>
          <w:i/>
          <w:sz w:val="24"/>
          <w:szCs w:val="24"/>
        </w:rPr>
        <w:t xml:space="preserve"> riguardanti l’economia devono servire agli operatori per effettuare le loro scelte utilizzando informazioni, innanzitutto, serie e ponderate. </w:t>
      </w:r>
      <w:r w:rsidRPr="00880FE6">
        <w:rPr>
          <w:i/>
          <w:sz w:val="24"/>
          <w:szCs w:val="24"/>
        </w:rPr>
        <w:t xml:space="preserve">I nostri mercati sono spesso </w:t>
      </w:r>
      <w:r w:rsidR="00880FE6" w:rsidRPr="00880FE6">
        <w:rPr>
          <w:i/>
          <w:sz w:val="24"/>
          <w:szCs w:val="24"/>
        </w:rPr>
        <w:t>criticati</w:t>
      </w:r>
      <w:r w:rsidR="00564D09" w:rsidRPr="00880FE6">
        <w:rPr>
          <w:i/>
          <w:sz w:val="24"/>
          <w:szCs w:val="24"/>
        </w:rPr>
        <w:t xml:space="preserve"> </w:t>
      </w:r>
      <w:r w:rsidRPr="00880FE6">
        <w:rPr>
          <w:i/>
          <w:sz w:val="24"/>
          <w:szCs w:val="24"/>
        </w:rPr>
        <w:t xml:space="preserve">dagli investitori internazionali </w:t>
      </w:r>
      <w:r w:rsidR="00880FE6" w:rsidRPr="00880FE6">
        <w:rPr>
          <w:i/>
          <w:sz w:val="24"/>
          <w:szCs w:val="24"/>
        </w:rPr>
        <w:t>per</w:t>
      </w:r>
      <w:r w:rsidRPr="00880FE6">
        <w:rPr>
          <w:i/>
          <w:sz w:val="24"/>
          <w:szCs w:val="24"/>
        </w:rPr>
        <w:t xml:space="preserve"> essere po</w:t>
      </w:r>
      <w:r w:rsidR="00A42230" w:rsidRPr="00880FE6">
        <w:rPr>
          <w:i/>
          <w:sz w:val="24"/>
          <w:szCs w:val="24"/>
        </w:rPr>
        <w:t xml:space="preserve">co trasparenti, </w:t>
      </w:r>
      <w:r w:rsidR="00880FE6" w:rsidRPr="00880FE6">
        <w:rPr>
          <w:i/>
          <w:sz w:val="24"/>
          <w:szCs w:val="24"/>
        </w:rPr>
        <w:t>rilievo</w:t>
      </w:r>
      <w:r w:rsidR="00880FE6">
        <w:rPr>
          <w:i/>
          <w:sz w:val="24"/>
          <w:szCs w:val="24"/>
        </w:rPr>
        <w:t xml:space="preserve"> </w:t>
      </w:r>
      <w:r w:rsidRPr="00880FE6">
        <w:rPr>
          <w:i/>
          <w:sz w:val="24"/>
          <w:szCs w:val="24"/>
        </w:rPr>
        <w:t xml:space="preserve">cui non </w:t>
      </w:r>
      <w:r w:rsidR="00564D09" w:rsidRPr="00880FE6">
        <w:rPr>
          <w:i/>
          <w:sz w:val="24"/>
          <w:szCs w:val="24"/>
        </w:rPr>
        <w:t>è esente</w:t>
      </w:r>
      <w:r w:rsidRPr="00880FE6">
        <w:rPr>
          <w:i/>
          <w:sz w:val="24"/>
          <w:szCs w:val="24"/>
        </w:rPr>
        <w:t xml:space="preserve"> il real estate.</w:t>
      </w:r>
      <w:r w:rsidRPr="006530A7">
        <w:rPr>
          <w:i/>
          <w:sz w:val="24"/>
          <w:szCs w:val="24"/>
        </w:rPr>
        <w:t xml:space="preserve"> La mancanza di fiducia finisce per penalizzare le opportunità, non fa emergere gli eventuali problemi in tempo per essere risolti, non premia sempre la soluzione migliore.</w:t>
      </w:r>
    </w:p>
    <w:p w:rsidR="00730B40" w:rsidRPr="006530A7" w:rsidRDefault="00730B40" w:rsidP="00F463C6">
      <w:pPr>
        <w:spacing w:before="120" w:after="120"/>
        <w:jc w:val="both"/>
        <w:rPr>
          <w:i/>
          <w:sz w:val="24"/>
          <w:szCs w:val="24"/>
        </w:rPr>
      </w:pPr>
      <w:r w:rsidRPr="006530A7">
        <w:rPr>
          <w:i/>
          <w:sz w:val="24"/>
          <w:szCs w:val="24"/>
        </w:rPr>
        <w:t xml:space="preserve">Nel panorama degli studi sul settore immobiliare, poi, </w:t>
      </w:r>
      <w:r w:rsidR="00564D09">
        <w:rPr>
          <w:i/>
          <w:sz w:val="24"/>
          <w:szCs w:val="24"/>
        </w:rPr>
        <w:t xml:space="preserve">il presente Rapporto </w:t>
      </w:r>
      <w:r w:rsidRPr="006530A7">
        <w:rPr>
          <w:i/>
          <w:sz w:val="24"/>
          <w:szCs w:val="24"/>
        </w:rPr>
        <w:t>costituisce una novità in quanto si occupa fondamentalmente di esplorare, con rigorose metodologie, gli andamenti degli anni più prossimi e le tendenze di lungo periodo. Naturalmente tale esercizio previsivo non costituisce in alcun modo presupposto per orientare scelte operative e, in tal senso, non condivide alcuna responsabilità relativa all’uso che verrà fatto dei dati di seguito esposti. Le proiezioni servono fondamentalmente a fare ipotesi riguardo al quadro evolutivo dei fenomeni economici, vanno interpretate e vagliate con attenzione, tuttavia spetta poi all’investitor</w:t>
      </w:r>
      <w:r w:rsidR="008C3248">
        <w:rPr>
          <w:i/>
          <w:sz w:val="24"/>
          <w:szCs w:val="24"/>
        </w:rPr>
        <w:t>e, all’</w:t>
      </w:r>
      <w:r w:rsidRPr="006530A7">
        <w:rPr>
          <w:i/>
          <w:sz w:val="24"/>
          <w:szCs w:val="24"/>
        </w:rPr>
        <w:t>imprenditore, all’istituto di credito, al professionista effettuare le sue valutazioni</w:t>
      </w:r>
      <w:r w:rsidR="00564D09">
        <w:rPr>
          <w:i/>
          <w:sz w:val="24"/>
          <w:szCs w:val="24"/>
        </w:rPr>
        <w:t xml:space="preserve"> e scelte</w:t>
      </w:r>
      <w:r w:rsidRPr="006530A7">
        <w:rPr>
          <w:i/>
          <w:sz w:val="24"/>
          <w:szCs w:val="24"/>
        </w:rPr>
        <w:t>.</w:t>
      </w:r>
    </w:p>
    <w:p w:rsidR="006B412F" w:rsidRPr="006530A7" w:rsidRDefault="00730B40" w:rsidP="00F463C6">
      <w:pPr>
        <w:spacing w:before="120" w:after="120"/>
        <w:jc w:val="both"/>
        <w:rPr>
          <w:i/>
          <w:sz w:val="24"/>
          <w:szCs w:val="24"/>
        </w:rPr>
      </w:pPr>
      <w:r w:rsidRPr="006530A7">
        <w:rPr>
          <w:i/>
          <w:sz w:val="24"/>
          <w:szCs w:val="24"/>
        </w:rPr>
        <w:t xml:space="preserve">Il Rapporto è stato realizzato per conto di </w:t>
      </w:r>
      <w:r w:rsidRPr="006530A7">
        <w:rPr>
          <w:b/>
          <w:i/>
          <w:sz w:val="24"/>
          <w:szCs w:val="24"/>
        </w:rPr>
        <w:t>YARD</w:t>
      </w:r>
      <w:r w:rsidRPr="006530A7">
        <w:rPr>
          <w:i/>
          <w:sz w:val="24"/>
          <w:szCs w:val="24"/>
        </w:rPr>
        <w:t xml:space="preserve">, società di servizi immobiliari e valutazione che dispone di una rete di tecnici e professionisti in </w:t>
      </w:r>
      <w:r w:rsidR="00564D09">
        <w:rPr>
          <w:i/>
          <w:sz w:val="24"/>
          <w:szCs w:val="24"/>
        </w:rPr>
        <w:t xml:space="preserve">oltre 80 </w:t>
      </w:r>
      <w:r w:rsidRPr="006530A7">
        <w:rPr>
          <w:i/>
          <w:sz w:val="24"/>
          <w:szCs w:val="24"/>
        </w:rPr>
        <w:t xml:space="preserve">province italiane, dalla </w:t>
      </w:r>
      <w:r w:rsidRPr="006530A7">
        <w:rPr>
          <w:b/>
          <w:i/>
          <w:sz w:val="24"/>
          <w:szCs w:val="24"/>
        </w:rPr>
        <w:t>RUR</w:t>
      </w:r>
      <w:r w:rsidR="005C1048" w:rsidRPr="006530A7">
        <w:rPr>
          <w:i/>
          <w:sz w:val="24"/>
          <w:szCs w:val="24"/>
        </w:rPr>
        <w:t>, un think t</w:t>
      </w:r>
      <w:r w:rsidRPr="006530A7">
        <w:rPr>
          <w:i/>
          <w:sz w:val="24"/>
          <w:szCs w:val="24"/>
        </w:rPr>
        <w:t>ank promosso nel 1989 dal Censis per studiare e promuovere l’economia delle città, cui aderiscono operatori pubblici e privati di primissimo piano ne</w:t>
      </w:r>
      <w:r w:rsidR="00912D61">
        <w:rPr>
          <w:i/>
          <w:sz w:val="24"/>
          <w:szCs w:val="24"/>
        </w:rPr>
        <w:t xml:space="preserve">i </w:t>
      </w:r>
      <w:r w:rsidRPr="006530A7">
        <w:rPr>
          <w:i/>
          <w:sz w:val="24"/>
          <w:szCs w:val="24"/>
        </w:rPr>
        <w:t>settor</w:t>
      </w:r>
      <w:r w:rsidR="00912D61">
        <w:rPr>
          <w:i/>
          <w:sz w:val="24"/>
          <w:szCs w:val="24"/>
        </w:rPr>
        <w:t>i</w:t>
      </w:r>
      <w:r w:rsidRPr="006530A7">
        <w:rPr>
          <w:i/>
          <w:sz w:val="24"/>
          <w:szCs w:val="24"/>
        </w:rPr>
        <w:t xml:space="preserve"> del credito, infrastrutture, telecomunicazioni, energia, costruzioni e sociale.</w:t>
      </w:r>
      <w:r w:rsidR="00AA49AB" w:rsidRPr="006530A7">
        <w:rPr>
          <w:i/>
          <w:sz w:val="24"/>
          <w:szCs w:val="24"/>
        </w:rPr>
        <w:t xml:space="preserve"> </w:t>
      </w:r>
    </w:p>
    <w:p w:rsidR="00A11F9D" w:rsidRPr="0042623C" w:rsidRDefault="00DF2579" w:rsidP="006530A7">
      <w:pPr>
        <w:rPr>
          <w:b/>
          <w:sz w:val="32"/>
          <w:szCs w:val="32"/>
        </w:rPr>
      </w:pPr>
      <w:r w:rsidRPr="006530A7">
        <w:rPr>
          <w:b/>
          <w:sz w:val="32"/>
          <w:szCs w:val="32"/>
        </w:rPr>
        <w:br w:type="page"/>
      </w:r>
    </w:p>
    <w:p w:rsidR="00730B40" w:rsidRDefault="00730B40" w:rsidP="008A4F0A">
      <w:pPr>
        <w:pStyle w:val="Titolo1"/>
        <w:numPr>
          <w:ilvl w:val="0"/>
          <w:numId w:val="16"/>
        </w:numPr>
        <w:spacing w:after="240"/>
        <w:ind w:left="709" w:hanging="709"/>
        <w:rPr>
          <w:rFonts w:asciiTheme="minorHAnsi" w:hAnsiTheme="minorHAnsi"/>
          <w:smallCaps/>
          <w:color w:val="auto"/>
          <w:sz w:val="32"/>
          <w:szCs w:val="32"/>
        </w:rPr>
      </w:pPr>
      <w:bookmarkStart w:id="2" w:name="_Toc445539585"/>
      <w:r w:rsidRPr="0021744B">
        <w:rPr>
          <w:rFonts w:asciiTheme="minorHAnsi" w:hAnsiTheme="minorHAnsi"/>
          <w:smallCaps/>
          <w:color w:val="auto"/>
          <w:sz w:val="32"/>
          <w:szCs w:val="32"/>
        </w:rPr>
        <w:lastRenderedPageBreak/>
        <w:t>Il cambiamento di clima nel mercato immobiliare</w:t>
      </w:r>
      <w:r w:rsidR="00DD0366" w:rsidRPr="0021744B">
        <w:rPr>
          <w:rFonts w:asciiTheme="minorHAnsi" w:hAnsiTheme="minorHAnsi"/>
          <w:smallCaps/>
          <w:color w:val="auto"/>
          <w:sz w:val="32"/>
          <w:szCs w:val="32"/>
        </w:rPr>
        <w:t xml:space="preserve"> </w:t>
      </w:r>
      <w:r w:rsidR="0060482C">
        <w:rPr>
          <w:rFonts w:asciiTheme="minorHAnsi" w:hAnsiTheme="minorHAnsi"/>
          <w:smallCaps/>
          <w:color w:val="auto"/>
          <w:sz w:val="32"/>
          <w:szCs w:val="32"/>
        </w:rPr>
        <w:t>al</w:t>
      </w:r>
      <w:r w:rsidRPr="0021744B">
        <w:rPr>
          <w:rFonts w:asciiTheme="minorHAnsi" w:hAnsiTheme="minorHAnsi"/>
          <w:smallCaps/>
          <w:color w:val="auto"/>
          <w:sz w:val="32"/>
          <w:szCs w:val="32"/>
        </w:rPr>
        <w:t xml:space="preserve">la fine </w:t>
      </w:r>
      <w:r w:rsidR="00390697">
        <w:rPr>
          <w:rFonts w:asciiTheme="minorHAnsi" w:hAnsiTheme="minorHAnsi"/>
          <w:smallCaps/>
          <w:color w:val="auto"/>
          <w:sz w:val="32"/>
          <w:szCs w:val="32"/>
        </w:rPr>
        <w:t xml:space="preserve">    </w:t>
      </w:r>
      <w:r w:rsidRPr="0021744B">
        <w:rPr>
          <w:rFonts w:asciiTheme="minorHAnsi" w:hAnsiTheme="minorHAnsi"/>
          <w:smallCaps/>
          <w:color w:val="auto"/>
          <w:sz w:val="32"/>
          <w:szCs w:val="32"/>
        </w:rPr>
        <w:t>della recessione</w:t>
      </w:r>
      <w:bookmarkEnd w:id="2"/>
    </w:p>
    <w:p w:rsidR="003672E6" w:rsidRPr="003672E6" w:rsidRDefault="003672E6" w:rsidP="003672E6">
      <w:pPr>
        <w:pStyle w:val="Titolo2"/>
        <w:numPr>
          <w:ilvl w:val="1"/>
          <w:numId w:val="16"/>
        </w:numPr>
        <w:spacing w:before="640" w:after="320"/>
        <w:ind w:left="0" w:firstLine="0"/>
        <w:rPr>
          <w:rFonts w:asciiTheme="minorHAnsi" w:hAnsiTheme="minorHAnsi"/>
          <w:color w:val="auto"/>
        </w:rPr>
      </w:pPr>
      <w:bookmarkStart w:id="3" w:name="_Toc445539586"/>
      <w:r>
        <w:rPr>
          <w:rFonts w:asciiTheme="minorHAnsi" w:hAnsiTheme="minorHAnsi"/>
          <w:color w:val="auto"/>
        </w:rPr>
        <w:t>Un passaggio di ciclo è possibile</w:t>
      </w:r>
      <w:bookmarkEnd w:id="3"/>
    </w:p>
    <w:p w:rsidR="00730B40" w:rsidRPr="006530A7" w:rsidRDefault="00730B40" w:rsidP="00F463C6">
      <w:pPr>
        <w:spacing w:before="120" w:after="120"/>
        <w:jc w:val="both"/>
        <w:rPr>
          <w:sz w:val="24"/>
          <w:szCs w:val="24"/>
        </w:rPr>
      </w:pPr>
      <w:r w:rsidRPr="006530A7">
        <w:rPr>
          <w:sz w:val="24"/>
          <w:szCs w:val="24"/>
        </w:rPr>
        <w:t>Il prossimo triennio</w:t>
      </w:r>
      <w:r w:rsidR="00564D09">
        <w:rPr>
          <w:sz w:val="24"/>
          <w:szCs w:val="24"/>
        </w:rPr>
        <w:t xml:space="preserve"> (2016-2018)</w:t>
      </w:r>
      <w:r w:rsidRPr="006530A7">
        <w:rPr>
          <w:sz w:val="24"/>
          <w:szCs w:val="24"/>
        </w:rPr>
        <w:t xml:space="preserve"> è decisivo per l’economia italiana e ancor più per il real estate che</w:t>
      </w:r>
      <w:r w:rsidR="00A226E1" w:rsidRPr="006530A7">
        <w:rPr>
          <w:sz w:val="24"/>
          <w:szCs w:val="24"/>
        </w:rPr>
        <w:t>, nel più recente periodo,</w:t>
      </w:r>
      <w:r w:rsidRPr="006530A7">
        <w:rPr>
          <w:sz w:val="24"/>
          <w:szCs w:val="24"/>
        </w:rPr>
        <w:t xml:space="preserve"> ha sofferto la crisi in modo particolare. Si avvertono segnali, oggettivi e percettivi, di sblocco di una situazione che appariva fino a pochi mesi fa di regresso senza limiti.</w:t>
      </w:r>
    </w:p>
    <w:p w:rsidR="00EF1235" w:rsidRPr="006530A7" w:rsidRDefault="00730B40" w:rsidP="00F463C6">
      <w:pPr>
        <w:spacing w:before="120" w:after="120"/>
        <w:jc w:val="both"/>
        <w:rPr>
          <w:sz w:val="24"/>
          <w:szCs w:val="24"/>
        </w:rPr>
      </w:pPr>
      <w:r w:rsidRPr="006530A7">
        <w:rPr>
          <w:sz w:val="24"/>
          <w:szCs w:val="24"/>
        </w:rPr>
        <w:t xml:space="preserve">In termini di volumi, seppur riferito al solo comparto residenziale, la svolta e il cambio di segno – dal negativo al positivo – è già avvenuto e le prospettive per il 2016 e il biennio successivo sono di una seppur moderata ma continua crescita. Non altrettanto si può affermare per gli altri comparti. Inoltre, molto </w:t>
      </w:r>
      <w:r w:rsidR="004416A0" w:rsidRPr="006530A7">
        <w:rPr>
          <w:sz w:val="24"/>
          <w:szCs w:val="24"/>
        </w:rPr>
        <w:t>diverse rispetto al passato sono le caratteristiche della possibile ripresa.</w:t>
      </w:r>
      <w:r w:rsidR="00EF1235" w:rsidRPr="006530A7">
        <w:rPr>
          <w:sz w:val="24"/>
          <w:szCs w:val="24"/>
        </w:rPr>
        <w:t xml:space="preserve"> Non è prevedibile una simultanea ascesa di tutti i prodotti immobiliari, di tutti i territori, di ogni </w:t>
      </w:r>
      <w:r w:rsidR="00A226E1" w:rsidRPr="006530A7">
        <w:rPr>
          <w:sz w:val="24"/>
          <w:szCs w:val="24"/>
        </w:rPr>
        <w:t>segmento</w:t>
      </w:r>
      <w:r w:rsidR="00EF1235" w:rsidRPr="006530A7">
        <w:rPr>
          <w:sz w:val="24"/>
          <w:szCs w:val="24"/>
        </w:rPr>
        <w:t>, ma al contrario assisteremo a una selettività basata sulle real</w:t>
      </w:r>
      <w:r w:rsidR="00A226E1" w:rsidRPr="006530A7">
        <w:rPr>
          <w:sz w:val="24"/>
          <w:szCs w:val="24"/>
        </w:rPr>
        <w:t>i</w:t>
      </w:r>
      <w:r w:rsidR="00EF1235" w:rsidRPr="006530A7">
        <w:rPr>
          <w:sz w:val="24"/>
          <w:szCs w:val="24"/>
        </w:rPr>
        <w:t xml:space="preserve"> convenienze e su una attenta valutazione dell’investimento.</w:t>
      </w:r>
    </w:p>
    <w:p w:rsidR="00A226E1" w:rsidRPr="006530A7" w:rsidRDefault="00EF1235" w:rsidP="00F463C6">
      <w:pPr>
        <w:spacing w:before="120" w:after="120"/>
        <w:jc w:val="both"/>
        <w:rPr>
          <w:sz w:val="24"/>
          <w:szCs w:val="24"/>
        </w:rPr>
      </w:pPr>
      <w:r w:rsidRPr="006530A7">
        <w:rPr>
          <w:sz w:val="24"/>
          <w:szCs w:val="24"/>
        </w:rPr>
        <w:t xml:space="preserve">L’ultima onda lunga del real estate dei primi anni 2000 corrispondeva all’esigenza delle famiglie italiane di coprirsi dalle incertezze dell’entrata nell’euro, dalla sensazione che alla perdita di confini e protezioni, causata dalla globalizzazione, l’unica vera certezza </w:t>
      </w:r>
      <w:r w:rsidR="00564D09">
        <w:rPr>
          <w:sz w:val="24"/>
          <w:szCs w:val="24"/>
        </w:rPr>
        <w:t>venisse</w:t>
      </w:r>
      <w:r w:rsidRPr="006530A7">
        <w:rPr>
          <w:sz w:val="24"/>
          <w:szCs w:val="24"/>
        </w:rPr>
        <w:t xml:space="preserve"> ancora una volta dal mattone. E’ stato quello il ciclo della “patrimonializzazione” diffusa, di una domanda che poteva contare ancora </w:t>
      </w:r>
      <w:r w:rsidR="00A226E1" w:rsidRPr="006530A7">
        <w:rPr>
          <w:sz w:val="24"/>
          <w:szCs w:val="24"/>
        </w:rPr>
        <w:t>su</w:t>
      </w:r>
      <w:r w:rsidRPr="006530A7">
        <w:rPr>
          <w:sz w:val="24"/>
          <w:szCs w:val="24"/>
        </w:rPr>
        <w:t xml:space="preserve"> condizioni favorevoli di tipo demografico, occupazionale e reddituale. Dal 2006 il real estate italiano aveva iniziato a rallentare, cioè ancor prima dell’entrata in crisi della finanza internazionale (2008) e poi, nel 2012, de</w:t>
      </w:r>
      <w:r w:rsidR="00A226E1" w:rsidRPr="006530A7">
        <w:rPr>
          <w:sz w:val="24"/>
          <w:szCs w:val="24"/>
        </w:rPr>
        <w:t>i</w:t>
      </w:r>
      <w:r w:rsidRPr="006530A7">
        <w:rPr>
          <w:sz w:val="24"/>
          <w:szCs w:val="24"/>
        </w:rPr>
        <w:t xml:space="preserve"> debiti sovrani. </w:t>
      </w:r>
    </w:p>
    <w:p w:rsidR="0018409D" w:rsidRPr="006530A7" w:rsidRDefault="00A226E1" w:rsidP="00F463C6">
      <w:pPr>
        <w:spacing w:before="120" w:after="120"/>
        <w:jc w:val="both"/>
        <w:rPr>
          <w:sz w:val="24"/>
          <w:szCs w:val="24"/>
        </w:rPr>
      </w:pPr>
      <w:r w:rsidRPr="006530A7">
        <w:rPr>
          <w:sz w:val="24"/>
          <w:szCs w:val="24"/>
        </w:rPr>
        <w:t>Ora, in estrema sintesi, sulla base del REI – Real Estate</w:t>
      </w:r>
      <w:r w:rsidR="00912D61">
        <w:rPr>
          <w:sz w:val="24"/>
          <w:szCs w:val="24"/>
        </w:rPr>
        <w:t xml:space="preserve"> Italia</w:t>
      </w:r>
      <w:r w:rsidRPr="006530A7">
        <w:rPr>
          <w:sz w:val="24"/>
          <w:szCs w:val="24"/>
        </w:rPr>
        <w:t xml:space="preserve"> Index 2016 elaborato da RUR per YARD (vedi nota metodologica)</w:t>
      </w:r>
      <w:r w:rsidR="005F6E86">
        <w:rPr>
          <w:sz w:val="24"/>
          <w:szCs w:val="24"/>
        </w:rPr>
        <w:t xml:space="preserve"> </w:t>
      </w:r>
      <w:r w:rsidR="00E012F4" w:rsidRPr="006530A7">
        <w:rPr>
          <w:sz w:val="24"/>
          <w:szCs w:val="24"/>
        </w:rPr>
        <w:t xml:space="preserve">si </w:t>
      </w:r>
      <w:r w:rsidR="0018409D" w:rsidRPr="006530A7">
        <w:rPr>
          <w:sz w:val="24"/>
          <w:szCs w:val="24"/>
        </w:rPr>
        <w:t>prevede:</w:t>
      </w:r>
    </w:p>
    <w:p w:rsidR="0018409D" w:rsidRPr="00FE07D4" w:rsidRDefault="00E012F4" w:rsidP="00F463C6">
      <w:pPr>
        <w:pStyle w:val="Paragrafoelenco"/>
        <w:numPr>
          <w:ilvl w:val="0"/>
          <w:numId w:val="7"/>
        </w:numPr>
        <w:spacing w:before="120" w:after="120"/>
        <w:jc w:val="both"/>
        <w:rPr>
          <w:sz w:val="24"/>
          <w:szCs w:val="24"/>
        </w:rPr>
      </w:pPr>
      <w:r w:rsidRPr="00FE07D4">
        <w:rPr>
          <w:sz w:val="24"/>
          <w:szCs w:val="24"/>
        </w:rPr>
        <w:t>p</w:t>
      </w:r>
      <w:r w:rsidR="0018409D" w:rsidRPr="00FE07D4">
        <w:rPr>
          <w:sz w:val="24"/>
          <w:szCs w:val="24"/>
        </w:rPr>
        <w:t xml:space="preserve">er quanto attiene al </w:t>
      </w:r>
      <w:r w:rsidR="0018409D" w:rsidRPr="00FE07D4">
        <w:rPr>
          <w:b/>
          <w:sz w:val="24"/>
          <w:szCs w:val="24"/>
        </w:rPr>
        <w:t>residenziale di nuova costruzione</w:t>
      </w:r>
      <w:r w:rsidR="0018409D" w:rsidRPr="00FE07D4">
        <w:rPr>
          <w:sz w:val="24"/>
          <w:szCs w:val="24"/>
        </w:rPr>
        <w:t xml:space="preserve"> una stabilità di transazione e prezzi per il 2016, e una ripresa dei volumi scambiati e dei valori nel 2018; </w:t>
      </w:r>
      <w:r w:rsidR="00EF1235" w:rsidRPr="00FE07D4">
        <w:rPr>
          <w:sz w:val="24"/>
          <w:szCs w:val="24"/>
        </w:rPr>
        <w:t xml:space="preserve"> </w:t>
      </w:r>
    </w:p>
    <w:p w:rsidR="0018409D" w:rsidRPr="00FE07D4" w:rsidRDefault="00E012F4" w:rsidP="00F463C6">
      <w:pPr>
        <w:pStyle w:val="Paragrafoelenco"/>
        <w:numPr>
          <w:ilvl w:val="0"/>
          <w:numId w:val="7"/>
        </w:numPr>
        <w:spacing w:before="120" w:after="120"/>
        <w:jc w:val="both"/>
        <w:rPr>
          <w:sz w:val="24"/>
          <w:szCs w:val="24"/>
        </w:rPr>
      </w:pPr>
      <w:r w:rsidRPr="00FE07D4">
        <w:rPr>
          <w:sz w:val="24"/>
          <w:szCs w:val="24"/>
        </w:rPr>
        <w:t>p</w:t>
      </w:r>
      <w:r w:rsidR="0018409D" w:rsidRPr="00FE07D4">
        <w:rPr>
          <w:sz w:val="24"/>
          <w:szCs w:val="24"/>
        </w:rPr>
        <w:t xml:space="preserve">er il </w:t>
      </w:r>
      <w:r w:rsidR="0018409D" w:rsidRPr="00FE07D4">
        <w:rPr>
          <w:b/>
          <w:sz w:val="24"/>
          <w:szCs w:val="24"/>
        </w:rPr>
        <w:t>residenziale usato</w:t>
      </w:r>
      <w:r w:rsidR="004416A0" w:rsidRPr="00FE07D4">
        <w:rPr>
          <w:sz w:val="24"/>
          <w:szCs w:val="24"/>
        </w:rPr>
        <w:t xml:space="preserve"> </w:t>
      </w:r>
      <w:r w:rsidR="0018409D" w:rsidRPr="00FE07D4">
        <w:rPr>
          <w:sz w:val="24"/>
          <w:szCs w:val="24"/>
        </w:rPr>
        <w:t xml:space="preserve">una sostanziale tenuta dei valori a fronte di una maggiore vivacità degli scambi nel 2016, con un incremento dei prezzi al 2018 e </w:t>
      </w:r>
      <w:r w:rsidR="00564D09">
        <w:rPr>
          <w:sz w:val="24"/>
          <w:szCs w:val="24"/>
        </w:rPr>
        <w:t xml:space="preserve">una contestuale </w:t>
      </w:r>
      <w:r w:rsidR="0018409D" w:rsidRPr="00FE07D4">
        <w:rPr>
          <w:sz w:val="24"/>
          <w:szCs w:val="24"/>
        </w:rPr>
        <w:t>stabilizzazione delle compravendite;</w:t>
      </w:r>
    </w:p>
    <w:p w:rsidR="00730B40" w:rsidRPr="00FE07D4" w:rsidRDefault="00E012F4" w:rsidP="00F463C6">
      <w:pPr>
        <w:pStyle w:val="Paragrafoelenco"/>
        <w:numPr>
          <w:ilvl w:val="0"/>
          <w:numId w:val="7"/>
        </w:numPr>
        <w:spacing w:before="120" w:after="120"/>
        <w:jc w:val="both"/>
        <w:rPr>
          <w:sz w:val="24"/>
          <w:szCs w:val="24"/>
        </w:rPr>
      </w:pPr>
      <w:r w:rsidRPr="00FE07D4">
        <w:rPr>
          <w:sz w:val="24"/>
          <w:szCs w:val="24"/>
        </w:rPr>
        <w:lastRenderedPageBreak/>
        <w:t>q</w:t>
      </w:r>
      <w:r w:rsidR="0018409D" w:rsidRPr="00FE07D4">
        <w:rPr>
          <w:sz w:val="24"/>
          <w:szCs w:val="24"/>
        </w:rPr>
        <w:t xml:space="preserve">uanto al comparto </w:t>
      </w:r>
      <w:r w:rsidR="0018409D" w:rsidRPr="00FE07D4">
        <w:rPr>
          <w:b/>
          <w:sz w:val="24"/>
          <w:szCs w:val="24"/>
        </w:rPr>
        <w:t>commerciale</w:t>
      </w:r>
      <w:r w:rsidR="0018409D" w:rsidRPr="00FE07D4">
        <w:rPr>
          <w:sz w:val="24"/>
          <w:szCs w:val="24"/>
        </w:rPr>
        <w:t xml:space="preserve"> la situazione del mercato appare nel 2016 deteriorata sia come volumi di scambi che come valori; al 2018 si registra su ambo i fronti</w:t>
      </w:r>
      <w:r w:rsidR="00730B40" w:rsidRPr="00FE07D4">
        <w:rPr>
          <w:sz w:val="24"/>
          <w:szCs w:val="24"/>
        </w:rPr>
        <w:t xml:space="preserve"> </w:t>
      </w:r>
      <w:r w:rsidR="0018409D" w:rsidRPr="00FE07D4">
        <w:rPr>
          <w:sz w:val="24"/>
          <w:szCs w:val="24"/>
        </w:rPr>
        <w:t>un miglioramento che comunque non porterà</w:t>
      </w:r>
      <w:r w:rsidR="00564D09">
        <w:rPr>
          <w:sz w:val="24"/>
          <w:szCs w:val="24"/>
        </w:rPr>
        <w:t>,</w:t>
      </w:r>
      <w:r w:rsidR="0018409D" w:rsidRPr="00FE07D4">
        <w:rPr>
          <w:sz w:val="24"/>
          <w:szCs w:val="24"/>
        </w:rPr>
        <w:t xml:space="preserve"> neanche a quella data</w:t>
      </w:r>
      <w:r w:rsidR="00564D09">
        <w:rPr>
          <w:sz w:val="24"/>
          <w:szCs w:val="24"/>
        </w:rPr>
        <w:t>,</w:t>
      </w:r>
      <w:r w:rsidR="0018409D" w:rsidRPr="00FE07D4">
        <w:rPr>
          <w:sz w:val="24"/>
          <w:szCs w:val="24"/>
        </w:rPr>
        <w:t xml:space="preserve"> a una stabilizzazione;</w:t>
      </w:r>
    </w:p>
    <w:p w:rsidR="004168C7" w:rsidRPr="00F463C6" w:rsidRDefault="00E012F4" w:rsidP="00F463C6">
      <w:pPr>
        <w:pStyle w:val="Paragrafoelenco"/>
        <w:numPr>
          <w:ilvl w:val="0"/>
          <w:numId w:val="7"/>
        </w:numPr>
        <w:spacing w:before="120" w:after="120"/>
        <w:jc w:val="both"/>
        <w:rPr>
          <w:sz w:val="24"/>
          <w:szCs w:val="24"/>
        </w:rPr>
      </w:pPr>
      <w:r w:rsidRPr="00FE07D4">
        <w:rPr>
          <w:sz w:val="24"/>
          <w:szCs w:val="24"/>
        </w:rPr>
        <w:t>s</w:t>
      </w:r>
      <w:r w:rsidR="00264DED" w:rsidRPr="00FE07D4">
        <w:rPr>
          <w:sz w:val="24"/>
          <w:szCs w:val="24"/>
        </w:rPr>
        <w:t xml:space="preserve">ituazione simile registrerà sia il segmento </w:t>
      </w:r>
      <w:r w:rsidR="00264DED" w:rsidRPr="00FE07D4">
        <w:rPr>
          <w:b/>
          <w:sz w:val="24"/>
          <w:szCs w:val="24"/>
        </w:rPr>
        <w:t>uffici</w:t>
      </w:r>
      <w:r w:rsidR="00264DED" w:rsidRPr="00FE07D4">
        <w:rPr>
          <w:sz w:val="24"/>
          <w:szCs w:val="24"/>
        </w:rPr>
        <w:t xml:space="preserve"> che quello </w:t>
      </w:r>
      <w:r w:rsidR="00264DED" w:rsidRPr="00564D09">
        <w:rPr>
          <w:b/>
          <w:sz w:val="24"/>
          <w:szCs w:val="24"/>
        </w:rPr>
        <w:t>industriale e logistica</w:t>
      </w:r>
      <w:r w:rsidR="00264DED" w:rsidRPr="00FE07D4">
        <w:rPr>
          <w:sz w:val="24"/>
          <w:szCs w:val="24"/>
        </w:rPr>
        <w:t>. Gli uffici pur permanendo anche al 2018 sotto la soglia di equilibrio quanto a transazioni</w:t>
      </w:r>
      <w:r w:rsidR="000644C0" w:rsidRPr="00FE07D4">
        <w:rPr>
          <w:sz w:val="24"/>
          <w:szCs w:val="24"/>
        </w:rPr>
        <w:t xml:space="preserve"> e prezzi</w:t>
      </w:r>
      <w:r w:rsidR="00264DED" w:rsidRPr="00FE07D4">
        <w:rPr>
          <w:sz w:val="24"/>
          <w:szCs w:val="24"/>
        </w:rPr>
        <w:t>,</w:t>
      </w:r>
      <w:r w:rsidR="000644C0" w:rsidRPr="00FE07D4">
        <w:rPr>
          <w:sz w:val="24"/>
          <w:szCs w:val="24"/>
        </w:rPr>
        <w:t xml:space="preserve"> si</w:t>
      </w:r>
      <w:r w:rsidR="00264DED" w:rsidRPr="00FE07D4">
        <w:rPr>
          <w:sz w:val="24"/>
          <w:szCs w:val="24"/>
        </w:rPr>
        <w:t xml:space="preserve"> avvicineranno </w:t>
      </w:r>
      <w:r w:rsidR="000644C0" w:rsidRPr="00FE07D4">
        <w:rPr>
          <w:sz w:val="24"/>
          <w:szCs w:val="24"/>
        </w:rPr>
        <w:t xml:space="preserve">a un livello di maggiore </w:t>
      </w:r>
      <w:r w:rsidR="00564D09" w:rsidRPr="00D74C84">
        <w:rPr>
          <w:sz w:val="24"/>
          <w:szCs w:val="24"/>
        </w:rPr>
        <w:t>stabilità</w:t>
      </w:r>
      <w:r w:rsidR="000644C0" w:rsidRPr="00D74C84">
        <w:rPr>
          <w:sz w:val="24"/>
          <w:szCs w:val="24"/>
        </w:rPr>
        <w:t>;</w:t>
      </w:r>
      <w:r w:rsidR="000644C0" w:rsidRPr="00FE07D4">
        <w:rPr>
          <w:sz w:val="24"/>
          <w:szCs w:val="24"/>
        </w:rPr>
        <w:t xml:space="preserve"> per quanto riguarda, invece, gli </w:t>
      </w:r>
      <w:r w:rsidR="000644C0" w:rsidRPr="00BF7694">
        <w:rPr>
          <w:b/>
          <w:sz w:val="24"/>
          <w:szCs w:val="24"/>
        </w:rPr>
        <w:t>immobili industriali</w:t>
      </w:r>
      <w:r w:rsidR="000644C0" w:rsidRPr="00FE07D4">
        <w:rPr>
          <w:sz w:val="24"/>
          <w:szCs w:val="24"/>
        </w:rPr>
        <w:t xml:space="preserve"> e p</w:t>
      </w:r>
      <w:r w:rsidR="007C7EC1" w:rsidRPr="00FE07D4">
        <w:rPr>
          <w:sz w:val="24"/>
          <w:szCs w:val="24"/>
        </w:rPr>
        <w:t xml:space="preserve">er la </w:t>
      </w:r>
      <w:r w:rsidR="007C7EC1" w:rsidRPr="00BF7694">
        <w:rPr>
          <w:b/>
          <w:sz w:val="24"/>
          <w:szCs w:val="24"/>
        </w:rPr>
        <w:t xml:space="preserve">logistica </w:t>
      </w:r>
      <w:r w:rsidR="007C7EC1" w:rsidRPr="00FE07D4">
        <w:rPr>
          <w:sz w:val="24"/>
          <w:szCs w:val="24"/>
        </w:rPr>
        <w:t xml:space="preserve">anche la dinamica dei valori nel 2018 rimarrà in una situazione regressiva </w:t>
      </w:r>
      <w:r w:rsidR="007C7EC1" w:rsidRPr="008C387B">
        <w:rPr>
          <w:sz w:val="24"/>
          <w:szCs w:val="24"/>
        </w:rPr>
        <w:t>(</w:t>
      </w:r>
      <w:r w:rsidR="00C80B5E" w:rsidRPr="008C387B">
        <w:rPr>
          <w:sz w:val="24"/>
          <w:szCs w:val="24"/>
        </w:rPr>
        <w:t>f</w:t>
      </w:r>
      <w:r w:rsidR="007C7EC1" w:rsidRPr="008C387B">
        <w:rPr>
          <w:sz w:val="24"/>
          <w:szCs w:val="24"/>
        </w:rPr>
        <w:t>ig</w:t>
      </w:r>
      <w:r w:rsidR="00C80B5E" w:rsidRPr="008C387B">
        <w:rPr>
          <w:sz w:val="24"/>
          <w:szCs w:val="24"/>
        </w:rPr>
        <w:t>g</w:t>
      </w:r>
      <w:r w:rsidR="007C7EC1" w:rsidRPr="008C387B">
        <w:rPr>
          <w:sz w:val="24"/>
          <w:szCs w:val="24"/>
        </w:rPr>
        <w:t>.1 e 2).</w:t>
      </w:r>
    </w:p>
    <w:p w:rsidR="007C7EC1" w:rsidRPr="00B911E3" w:rsidRDefault="007C7EC1" w:rsidP="00B911E3">
      <w:pPr>
        <w:pStyle w:val="Titolotabella"/>
      </w:pPr>
      <w:r w:rsidRPr="00D74C84">
        <w:t>F</w:t>
      </w:r>
      <w:r w:rsidR="004168C7" w:rsidRPr="00D74C84">
        <w:t>ig.1 – REI I</w:t>
      </w:r>
      <w:r w:rsidRPr="00D74C84">
        <w:t>ndex relativo all’andamento d</w:t>
      </w:r>
      <w:r w:rsidR="00E012F4" w:rsidRPr="00D74C84">
        <w:t>elle compravendite</w:t>
      </w:r>
      <w:r w:rsidRPr="00D74C84">
        <w:t xml:space="preserve"> per i diversi segmenti d’immobili al 2016 e al 2018</w:t>
      </w:r>
      <w:r w:rsidR="00390697" w:rsidRPr="00D74C84">
        <w:t xml:space="preserve"> (Scala dei va</w:t>
      </w:r>
      <w:r w:rsidR="00D72B80" w:rsidRPr="00D74C84">
        <w:t xml:space="preserve">lori: 0 – 30 deterioramento; 30 – </w:t>
      </w:r>
      <w:r w:rsidR="00390697" w:rsidRPr="00D74C84">
        <w:t>5</w:t>
      </w:r>
      <w:r w:rsidR="00D72B80" w:rsidRPr="00D74C84">
        <w:t xml:space="preserve">0 regresso; 50 – 60 stabilità; 60 – </w:t>
      </w:r>
      <w:r w:rsidR="00390697" w:rsidRPr="00D74C84">
        <w:t>100 espansione</w:t>
      </w:r>
      <w:r w:rsidR="00C35610" w:rsidRPr="00D74C84">
        <w:t>)</w:t>
      </w:r>
    </w:p>
    <w:p w:rsidR="00A226E1" w:rsidRPr="006530A7" w:rsidRDefault="00EA5790" w:rsidP="003A2821">
      <w:pPr>
        <w:spacing w:before="120" w:after="120"/>
        <w:jc w:val="center"/>
      </w:pPr>
      <w:r w:rsidRPr="007565F3">
        <w:rPr>
          <w:noProof/>
          <w:sz w:val="18"/>
          <w:szCs w:val="18"/>
          <w:lang w:eastAsia="it-IT"/>
        </w:rPr>
        <w:drawing>
          <wp:inline distT="0" distB="0" distL="0" distR="0" wp14:anchorId="66E80745" wp14:editId="13049970">
            <wp:extent cx="5398770" cy="3913094"/>
            <wp:effectExtent l="0" t="0" r="11430" b="1143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3A0C" w:rsidRPr="006530A7" w:rsidRDefault="008D04F1" w:rsidP="009B4409">
      <w:pPr>
        <w:pStyle w:val="StileFonte"/>
      </w:pPr>
      <w:r>
        <w:rPr>
          <w:color w:val="000000"/>
        </w:rPr>
        <w:t>Fonte: indagine</w:t>
      </w:r>
      <w:r w:rsidR="00AA49AB" w:rsidRPr="006530A7">
        <w:t xml:space="preserve"> RUR - Yard, 2016</w:t>
      </w:r>
    </w:p>
    <w:p w:rsidR="007C7EC1" w:rsidRDefault="007C7EC1" w:rsidP="00097AFE">
      <w:pPr>
        <w:pStyle w:val="Titolotabella"/>
      </w:pPr>
      <w:r w:rsidRPr="00D74C84">
        <w:lastRenderedPageBreak/>
        <w:t>Fig.</w:t>
      </w:r>
      <w:r w:rsidR="0090191C" w:rsidRPr="00D74C84">
        <w:t>2</w:t>
      </w:r>
      <w:r w:rsidR="004168C7" w:rsidRPr="00D74C84">
        <w:t xml:space="preserve"> – REI I</w:t>
      </w:r>
      <w:r w:rsidRPr="00D74C84">
        <w:t>ndex relativo all’andamento dei v</w:t>
      </w:r>
      <w:r w:rsidR="00E012F4" w:rsidRPr="00D74C84">
        <w:t>alori per i diversi segmenti d’</w:t>
      </w:r>
      <w:r w:rsidR="007A3272" w:rsidRPr="00D74C84">
        <w:t xml:space="preserve">immobili al 2016 </w:t>
      </w:r>
      <w:r w:rsidRPr="00D74C84">
        <w:t>e al 2018</w:t>
      </w:r>
      <w:r w:rsidR="00390697" w:rsidRPr="00D74C84">
        <w:t xml:space="preserve"> (Scala dei va</w:t>
      </w:r>
      <w:r w:rsidR="00D72B80" w:rsidRPr="00D74C84">
        <w:t xml:space="preserve">lori: 0 – 30 deterioramento; 30 – </w:t>
      </w:r>
      <w:r w:rsidR="00390697" w:rsidRPr="00D74C84">
        <w:t>50 regresso; 50</w:t>
      </w:r>
      <w:r w:rsidR="00D72B80" w:rsidRPr="00D74C84">
        <w:t xml:space="preserve"> – </w:t>
      </w:r>
      <w:r w:rsidR="00390697" w:rsidRPr="00D74C84">
        <w:t>60 stabilità; 60</w:t>
      </w:r>
      <w:r w:rsidR="00D72B80" w:rsidRPr="00D74C84">
        <w:t xml:space="preserve"> – </w:t>
      </w:r>
      <w:r w:rsidR="00390697" w:rsidRPr="00D74C84">
        <w:t>100 espansione)</w:t>
      </w:r>
    </w:p>
    <w:p w:rsidR="00EA5790" w:rsidRPr="00AB7706" w:rsidRDefault="00EA5790" w:rsidP="00097AFE">
      <w:pPr>
        <w:pStyle w:val="Titolotabella"/>
      </w:pPr>
      <w:r>
        <w:rPr>
          <w:noProof/>
          <w:lang w:eastAsia="it-IT"/>
        </w:rPr>
        <w:drawing>
          <wp:inline distT="0" distB="0" distL="0" distR="0" wp14:anchorId="09A2D73A" wp14:editId="24B78DC5">
            <wp:extent cx="5583555" cy="3818965"/>
            <wp:effectExtent l="0" t="0" r="17145" b="10160"/>
            <wp:docPr id="24" name="Gra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49AB" w:rsidRDefault="008D04F1" w:rsidP="00C61C61">
      <w:pPr>
        <w:pStyle w:val="StileFonte"/>
      </w:pPr>
      <w:r>
        <w:rPr>
          <w:color w:val="000000"/>
        </w:rPr>
        <w:t>Fonte: indagine</w:t>
      </w:r>
      <w:r w:rsidR="00AA49AB" w:rsidRPr="006530A7">
        <w:t xml:space="preserve"> RUR - Yard, 2016</w:t>
      </w:r>
    </w:p>
    <w:p w:rsidR="00564D09" w:rsidRPr="00564D09" w:rsidRDefault="00564D09" w:rsidP="00564D09">
      <w:pPr>
        <w:pStyle w:val="Titolo2"/>
        <w:numPr>
          <w:ilvl w:val="1"/>
          <w:numId w:val="16"/>
        </w:numPr>
        <w:spacing w:before="640" w:after="320"/>
        <w:ind w:left="0" w:firstLine="0"/>
        <w:rPr>
          <w:rFonts w:asciiTheme="minorHAnsi" w:hAnsiTheme="minorHAnsi"/>
          <w:color w:val="auto"/>
        </w:rPr>
      </w:pPr>
      <w:bookmarkStart w:id="4" w:name="_Toc445539587"/>
      <w:r w:rsidRPr="00564D09">
        <w:rPr>
          <w:rFonts w:asciiTheme="minorHAnsi" w:hAnsiTheme="minorHAnsi"/>
          <w:color w:val="auto"/>
        </w:rPr>
        <w:t>I nuovi termini del consumo abitativo</w:t>
      </w:r>
      <w:bookmarkEnd w:id="4"/>
    </w:p>
    <w:p w:rsidR="00A90103" w:rsidRPr="009B4409" w:rsidRDefault="006530A3" w:rsidP="00504700">
      <w:pPr>
        <w:spacing w:before="120" w:after="120"/>
        <w:jc w:val="both"/>
        <w:rPr>
          <w:sz w:val="24"/>
          <w:szCs w:val="24"/>
        </w:rPr>
      </w:pPr>
      <w:r w:rsidRPr="009B4409">
        <w:rPr>
          <w:sz w:val="24"/>
          <w:szCs w:val="24"/>
        </w:rPr>
        <w:t xml:space="preserve">Il diverso andamento del comparto residenziale e di quello per gli immobili d’impresa va posto in relazione alle determinanti </w:t>
      </w:r>
      <w:r w:rsidR="00A90103" w:rsidRPr="009B4409">
        <w:rPr>
          <w:sz w:val="24"/>
          <w:szCs w:val="24"/>
        </w:rPr>
        <w:t xml:space="preserve">strutturali cui sono legate le </w:t>
      </w:r>
      <w:r w:rsidR="00564D09">
        <w:rPr>
          <w:sz w:val="24"/>
          <w:szCs w:val="24"/>
        </w:rPr>
        <w:t>rispettive</w:t>
      </w:r>
      <w:r w:rsidR="00A90103" w:rsidRPr="009B4409">
        <w:rPr>
          <w:sz w:val="24"/>
          <w:szCs w:val="24"/>
        </w:rPr>
        <w:t xml:space="preserve"> domande. Da un lato, troviamo infatti le </w:t>
      </w:r>
      <w:r w:rsidR="00A90103" w:rsidRPr="00564D09">
        <w:rPr>
          <w:b/>
          <w:sz w:val="24"/>
          <w:szCs w:val="24"/>
        </w:rPr>
        <w:t>famiglie</w:t>
      </w:r>
      <w:r w:rsidR="00A90103" w:rsidRPr="009B4409">
        <w:rPr>
          <w:sz w:val="24"/>
          <w:szCs w:val="24"/>
        </w:rPr>
        <w:t xml:space="preserve"> e le </w:t>
      </w:r>
      <w:r w:rsidR="00A90103" w:rsidRPr="00564D09">
        <w:rPr>
          <w:b/>
          <w:sz w:val="24"/>
          <w:szCs w:val="24"/>
        </w:rPr>
        <w:t>persone</w:t>
      </w:r>
      <w:r w:rsidR="00A90103" w:rsidRPr="009B4409">
        <w:rPr>
          <w:sz w:val="24"/>
          <w:szCs w:val="24"/>
        </w:rPr>
        <w:t xml:space="preserve"> che effettuano le proprie scelte d’acquisto sulla base di parametri come il reddito disponibile, la stabilità del lavoro e delle forme di </w:t>
      </w:r>
      <w:r w:rsidR="00A90103" w:rsidRPr="00A44371">
        <w:rPr>
          <w:sz w:val="24"/>
          <w:szCs w:val="24"/>
        </w:rPr>
        <w:t>reddito</w:t>
      </w:r>
      <w:r w:rsidR="00A90103" w:rsidRPr="009B4409">
        <w:rPr>
          <w:sz w:val="24"/>
          <w:szCs w:val="24"/>
        </w:rPr>
        <w:t xml:space="preserve">, l’impiego di risparmi. Influenzano il flusso di domanda anche fattori strutturali di tipo demografico, il contesto finanziario e la disponibilità del credito, il tasso d’inflazione, </w:t>
      </w:r>
      <w:r w:rsidR="00912D61" w:rsidRPr="00A44371">
        <w:rPr>
          <w:sz w:val="24"/>
          <w:szCs w:val="24"/>
        </w:rPr>
        <w:t>l’offerta</w:t>
      </w:r>
      <w:r w:rsidR="00A90103" w:rsidRPr="009B4409">
        <w:rPr>
          <w:sz w:val="24"/>
          <w:szCs w:val="24"/>
        </w:rPr>
        <w:t xml:space="preserve"> di immobili adeguati. Ma ancora forte influenza esercitano anche parametri di tipo emotivo, legati alla copertura di potenziali rischi, le tendenze al consumo o al patrimonio.</w:t>
      </w:r>
    </w:p>
    <w:p w:rsidR="00DC7BB1" w:rsidRPr="009B4409" w:rsidRDefault="00A90103" w:rsidP="00504700">
      <w:pPr>
        <w:spacing w:before="120" w:after="120"/>
        <w:jc w:val="both"/>
        <w:rPr>
          <w:sz w:val="24"/>
          <w:szCs w:val="24"/>
        </w:rPr>
      </w:pPr>
      <w:r w:rsidRPr="009B4409">
        <w:rPr>
          <w:sz w:val="24"/>
          <w:szCs w:val="24"/>
        </w:rPr>
        <w:lastRenderedPageBreak/>
        <w:t xml:space="preserve">Uno dei nodi fondamentali riguarda la trasformazione che ha subito la </w:t>
      </w:r>
      <w:r w:rsidRPr="009B4409">
        <w:rPr>
          <w:b/>
          <w:sz w:val="24"/>
          <w:szCs w:val="24"/>
        </w:rPr>
        <w:t>domanda immobiliare delle famigli</w:t>
      </w:r>
      <w:r w:rsidR="00EF7120" w:rsidRPr="009B4409">
        <w:rPr>
          <w:b/>
          <w:sz w:val="24"/>
          <w:szCs w:val="24"/>
        </w:rPr>
        <w:t>e</w:t>
      </w:r>
      <w:r w:rsidRPr="009B4409">
        <w:rPr>
          <w:b/>
          <w:sz w:val="24"/>
          <w:szCs w:val="24"/>
        </w:rPr>
        <w:t xml:space="preserve"> </w:t>
      </w:r>
      <w:r w:rsidRPr="009B4409">
        <w:rPr>
          <w:sz w:val="24"/>
          <w:szCs w:val="24"/>
        </w:rPr>
        <w:t>per effetto del frazionamento dei nuclei, che dunque costituisc</w:t>
      </w:r>
      <w:r w:rsidR="00EB3040" w:rsidRPr="009B4409">
        <w:rPr>
          <w:sz w:val="24"/>
          <w:szCs w:val="24"/>
        </w:rPr>
        <w:t>e</w:t>
      </w:r>
      <w:r w:rsidRPr="009B4409">
        <w:rPr>
          <w:sz w:val="24"/>
          <w:szCs w:val="24"/>
        </w:rPr>
        <w:t xml:space="preserve"> una base per moltiplicarne il numero</w:t>
      </w:r>
      <w:r w:rsidR="00564D09">
        <w:rPr>
          <w:sz w:val="24"/>
          <w:szCs w:val="24"/>
        </w:rPr>
        <w:t>, ma indebolisce</w:t>
      </w:r>
      <w:r w:rsidR="00EB3040" w:rsidRPr="009B4409">
        <w:rPr>
          <w:sz w:val="24"/>
          <w:szCs w:val="24"/>
        </w:rPr>
        <w:t xml:space="preserve"> la capacità di aggregare redditi: siamo passati dalla </w:t>
      </w:r>
      <w:r w:rsidR="00EB3040" w:rsidRPr="009B4409">
        <w:rPr>
          <w:b/>
          <w:sz w:val="24"/>
          <w:szCs w:val="24"/>
        </w:rPr>
        <w:t xml:space="preserve">“famiglia spa” </w:t>
      </w:r>
      <w:r w:rsidR="00EB3040" w:rsidRPr="009B4409">
        <w:rPr>
          <w:sz w:val="24"/>
          <w:szCs w:val="24"/>
        </w:rPr>
        <w:t xml:space="preserve">dove diversi spezzoni di lavoro contribuivano a realizzare in tempi ragionevoli una buona accumulazione di risparmio, alla </w:t>
      </w:r>
      <w:r w:rsidR="00EB3040" w:rsidRPr="009B4409">
        <w:rPr>
          <w:b/>
          <w:sz w:val="24"/>
          <w:szCs w:val="24"/>
        </w:rPr>
        <w:t>famiglia “partita iva”</w:t>
      </w:r>
      <w:r w:rsidRPr="009B4409">
        <w:rPr>
          <w:sz w:val="24"/>
          <w:szCs w:val="24"/>
        </w:rPr>
        <w:t xml:space="preserve"> </w:t>
      </w:r>
      <w:r w:rsidR="00EB3040" w:rsidRPr="009B4409">
        <w:rPr>
          <w:sz w:val="24"/>
          <w:szCs w:val="24"/>
        </w:rPr>
        <w:t xml:space="preserve"> più piccola con meno percettori di redditi, specie quelli da </w:t>
      </w:r>
      <w:r w:rsidR="00EB3040" w:rsidRPr="008C387B">
        <w:rPr>
          <w:sz w:val="24"/>
          <w:szCs w:val="24"/>
        </w:rPr>
        <w:t>lavoro</w:t>
      </w:r>
      <w:r w:rsidR="00C80B5E" w:rsidRPr="008C387B">
        <w:rPr>
          <w:sz w:val="24"/>
          <w:szCs w:val="24"/>
        </w:rPr>
        <w:t xml:space="preserve"> (fig.</w:t>
      </w:r>
      <w:r w:rsidR="00BF7694" w:rsidRPr="008C387B">
        <w:rPr>
          <w:sz w:val="24"/>
          <w:szCs w:val="24"/>
        </w:rPr>
        <w:t xml:space="preserve"> </w:t>
      </w:r>
      <w:r w:rsidR="00C80B5E" w:rsidRPr="008C387B">
        <w:rPr>
          <w:sz w:val="24"/>
          <w:szCs w:val="24"/>
        </w:rPr>
        <w:t>3)</w:t>
      </w:r>
      <w:r w:rsidR="00EB3040" w:rsidRPr="008C387B">
        <w:rPr>
          <w:sz w:val="24"/>
          <w:szCs w:val="24"/>
        </w:rPr>
        <w:t>.</w:t>
      </w:r>
    </w:p>
    <w:p w:rsidR="00EB3040" w:rsidRPr="00AB7706" w:rsidRDefault="0090191C" w:rsidP="00097AFE">
      <w:pPr>
        <w:pStyle w:val="Titolotabella"/>
      </w:pPr>
      <w:r w:rsidRPr="00AB7706">
        <w:t xml:space="preserve">Fig.3 </w:t>
      </w:r>
      <w:r w:rsidR="00E26D59">
        <w:t>–</w:t>
      </w:r>
      <w:r w:rsidRPr="00AB7706">
        <w:t xml:space="preserve"> Da “famiglia spa” a “famiglia partita iva”: si riducono i percettori di reddito</w:t>
      </w:r>
      <w:r w:rsidR="00B13FB4" w:rsidRPr="00AB7706">
        <w:t xml:space="preserve"> (val. medio)</w:t>
      </w:r>
    </w:p>
    <w:p w:rsidR="006530A3" w:rsidRPr="006530A7" w:rsidRDefault="004E52C4" w:rsidP="009B4409">
      <w:pPr>
        <w:spacing w:before="120" w:after="120"/>
        <w:jc w:val="center"/>
      </w:pPr>
      <w:r>
        <w:rPr>
          <w:noProof/>
          <w:lang w:eastAsia="it-IT"/>
        </w:rPr>
        <w:drawing>
          <wp:inline distT="0" distB="0" distL="0" distR="0" wp14:anchorId="2F4FCF24" wp14:editId="2D32091F">
            <wp:extent cx="5403272" cy="1971304"/>
            <wp:effectExtent l="0" t="0" r="26035" b="1016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7BB1" w:rsidRPr="00F54056" w:rsidRDefault="00EB3040" w:rsidP="00F54056">
      <w:pPr>
        <w:pStyle w:val="StileFonte"/>
      </w:pPr>
      <w:r w:rsidRPr="006530A7">
        <w:t>Fonte: Banca d’Italia – Bilanci delle famiglie, vari anni</w:t>
      </w:r>
    </w:p>
    <w:p w:rsidR="00EF7120" w:rsidRPr="009B4409" w:rsidRDefault="00EF7120" w:rsidP="00504700">
      <w:pPr>
        <w:spacing w:before="120" w:after="120"/>
        <w:jc w:val="both"/>
        <w:rPr>
          <w:sz w:val="24"/>
          <w:szCs w:val="24"/>
        </w:rPr>
      </w:pPr>
      <w:r w:rsidRPr="009B4409">
        <w:rPr>
          <w:sz w:val="24"/>
          <w:szCs w:val="24"/>
        </w:rPr>
        <w:t xml:space="preserve">Inoltre, i fattori critici che, a partire dal 2008, hanno </w:t>
      </w:r>
      <w:r w:rsidR="004E52C4">
        <w:rPr>
          <w:sz w:val="24"/>
          <w:szCs w:val="24"/>
        </w:rPr>
        <w:t>determinato</w:t>
      </w:r>
      <w:r w:rsidRPr="009B4409">
        <w:rPr>
          <w:sz w:val="24"/>
          <w:szCs w:val="24"/>
        </w:rPr>
        <w:t xml:space="preserve"> una rilevante perdita di prodotto intern</w:t>
      </w:r>
      <w:r w:rsidR="004E52C4">
        <w:rPr>
          <w:sz w:val="24"/>
          <w:szCs w:val="24"/>
        </w:rPr>
        <w:t>o e di occupazione, hanno dispiegato i propri effetti anche s</w:t>
      </w:r>
      <w:r w:rsidR="00912D61">
        <w:rPr>
          <w:sz w:val="24"/>
          <w:szCs w:val="24"/>
        </w:rPr>
        <w:t>ulla</w:t>
      </w:r>
      <w:r w:rsidRPr="009B4409">
        <w:rPr>
          <w:sz w:val="24"/>
          <w:szCs w:val="24"/>
        </w:rPr>
        <w:t xml:space="preserve"> riduzione del reddito disponibile delle famiglie</w:t>
      </w:r>
      <w:r w:rsidR="00502B03" w:rsidRPr="009B4409">
        <w:rPr>
          <w:sz w:val="24"/>
          <w:szCs w:val="24"/>
        </w:rPr>
        <w:t xml:space="preserve"> che </w:t>
      </w:r>
      <w:r w:rsidR="004E52C4">
        <w:rPr>
          <w:sz w:val="24"/>
          <w:szCs w:val="24"/>
        </w:rPr>
        <w:t xml:space="preserve">proprio a partire </w:t>
      </w:r>
      <w:r w:rsidR="00502B03" w:rsidRPr="009B4409">
        <w:rPr>
          <w:sz w:val="24"/>
          <w:szCs w:val="24"/>
        </w:rPr>
        <w:t xml:space="preserve">dal 2008 </w:t>
      </w:r>
      <w:r w:rsidR="00C80B5E" w:rsidRPr="009B4409">
        <w:rPr>
          <w:sz w:val="24"/>
          <w:szCs w:val="24"/>
        </w:rPr>
        <w:t>è sceso</w:t>
      </w:r>
      <w:r w:rsidR="00502B03" w:rsidRPr="009B4409">
        <w:rPr>
          <w:sz w:val="24"/>
          <w:szCs w:val="24"/>
        </w:rPr>
        <w:t>, secondo la Banca d’Italia, del 15,4% (a valori correnti) da 39mila a 33mila euro</w:t>
      </w:r>
      <w:r w:rsidR="004E52C4">
        <w:rPr>
          <w:sz w:val="24"/>
          <w:szCs w:val="24"/>
        </w:rPr>
        <w:t xml:space="preserve"> annui</w:t>
      </w:r>
      <w:r w:rsidR="00502B03" w:rsidRPr="009B4409">
        <w:rPr>
          <w:sz w:val="24"/>
          <w:szCs w:val="24"/>
        </w:rPr>
        <w:t>. Resta ancora elevata la divaricazione dalla media dei nuclei familiari con persona di riferimento giovane assestati, nell’ultimo anno disponibile, sui 25.700 euro, un valore che rende difficile la possibilità di accumulare risparmio da investire</w:t>
      </w:r>
      <w:r w:rsidR="004E52C4">
        <w:rPr>
          <w:sz w:val="24"/>
          <w:szCs w:val="24"/>
        </w:rPr>
        <w:t xml:space="preserve">, poi, </w:t>
      </w:r>
      <w:r w:rsidR="00502B03" w:rsidRPr="009B4409">
        <w:rPr>
          <w:sz w:val="24"/>
          <w:szCs w:val="24"/>
        </w:rPr>
        <w:t>n</w:t>
      </w:r>
      <w:r w:rsidR="009B4409">
        <w:rPr>
          <w:sz w:val="24"/>
          <w:szCs w:val="24"/>
        </w:rPr>
        <w:t>ell’acquisto di un’abitazione</w:t>
      </w:r>
      <w:r w:rsidR="001C3993">
        <w:rPr>
          <w:sz w:val="24"/>
          <w:szCs w:val="24"/>
        </w:rPr>
        <w:t xml:space="preserve"> </w:t>
      </w:r>
      <w:r w:rsidR="001C3993" w:rsidRPr="008C387B">
        <w:rPr>
          <w:sz w:val="24"/>
          <w:szCs w:val="24"/>
        </w:rPr>
        <w:t>(fig. 4)</w:t>
      </w:r>
      <w:r w:rsidR="009B4409" w:rsidRPr="008C387B">
        <w:rPr>
          <w:sz w:val="24"/>
          <w:szCs w:val="24"/>
        </w:rPr>
        <w:t>.</w:t>
      </w:r>
    </w:p>
    <w:p w:rsidR="0090191C" w:rsidRPr="009B4409" w:rsidRDefault="0090191C" w:rsidP="00504700">
      <w:pPr>
        <w:spacing w:before="120" w:after="120"/>
        <w:jc w:val="both"/>
        <w:rPr>
          <w:sz w:val="24"/>
          <w:szCs w:val="24"/>
        </w:rPr>
      </w:pPr>
      <w:r w:rsidRPr="009B4409">
        <w:rPr>
          <w:sz w:val="24"/>
          <w:szCs w:val="24"/>
        </w:rPr>
        <w:t>Famiglie, peraltro, moltiplicate nel numero ma ridimensionate nella composizione, visto che in vent’anni i nuclei con figli (coppie o monogenitoriali) passano dal 59,6% del 1995 al 49,9% del 2004 e diventano minoranza con il 46,1% nel 2014.</w:t>
      </w:r>
    </w:p>
    <w:p w:rsidR="00C86BB1" w:rsidRPr="004E52C4" w:rsidRDefault="0090191C" w:rsidP="004E52C4">
      <w:pPr>
        <w:spacing w:before="120" w:after="120"/>
        <w:jc w:val="both"/>
        <w:rPr>
          <w:sz w:val="24"/>
          <w:szCs w:val="24"/>
        </w:rPr>
      </w:pPr>
      <w:r w:rsidRPr="009B4409">
        <w:rPr>
          <w:sz w:val="24"/>
          <w:szCs w:val="24"/>
        </w:rPr>
        <w:t>D’altra parte, una rilevante alimentazione della domanda viene dalle famiglie proveni</w:t>
      </w:r>
      <w:r w:rsidR="00BF7694">
        <w:rPr>
          <w:sz w:val="24"/>
          <w:szCs w:val="24"/>
        </w:rPr>
        <w:t>enti dall’estero o composte da per</w:t>
      </w:r>
      <w:r w:rsidRPr="009B4409">
        <w:rPr>
          <w:sz w:val="24"/>
          <w:szCs w:val="24"/>
        </w:rPr>
        <w:t>sone di origine straniera</w:t>
      </w:r>
      <w:r w:rsidR="00306638" w:rsidRPr="009B4409">
        <w:rPr>
          <w:sz w:val="24"/>
          <w:szCs w:val="24"/>
        </w:rPr>
        <w:t xml:space="preserve">. Negli ultimi </w:t>
      </w:r>
      <w:r w:rsidR="00306638" w:rsidRPr="009B4409">
        <w:rPr>
          <w:sz w:val="24"/>
          <w:szCs w:val="24"/>
        </w:rPr>
        <w:lastRenderedPageBreak/>
        <w:t xml:space="preserve">vent’anni sono passate da un’incidenza dell’1,6% al 3,9% del 2004 fino all’8,1% del </w:t>
      </w:r>
      <w:r w:rsidR="00306638" w:rsidRPr="008C387B">
        <w:rPr>
          <w:sz w:val="24"/>
          <w:szCs w:val="24"/>
        </w:rPr>
        <w:t>2014 (</w:t>
      </w:r>
      <w:r w:rsidR="00C80B5E" w:rsidRPr="008C387B">
        <w:rPr>
          <w:sz w:val="24"/>
          <w:szCs w:val="24"/>
        </w:rPr>
        <w:t>f</w:t>
      </w:r>
      <w:r w:rsidR="00306638" w:rsidRPr="008C387B">
        <w:rPr>
          <w:sz w:val="24"/>
          <w:szCs w:val="24"/>
        </w:rPr>
        <w:t>ig</w:t>
      </w:r>
      <w:r w:rsidR="00DC7BB1" w:rsidRPr="008C387B">
        <w:rPr>
          <w:sz w:val="24"/>
          <w:szCs w:val="24"/>
        </w:rPr>
        <w:t>g</w:t>
      </w:r>
      <w:r w:rsidR="00306638" w:rsidRPr="008C387B">
        <w:rPr>
          <w:sz w:val="24"/>
          <w:szCs w:val="24"/>
        </w:rPr>
        <w:t>.</w:t>
      </w:r>
      <w:r w:rsidRPr="008C387B">
        <w:rPr>
          <w:sz w:val="24"/>
          <w:szCs w:val="24"/>
        </w:rPr>
        <w:t xml:space="preserve"> </w:t>
      </w:r>
      <w:r w:rsidR="00C80B5E" w:rsidRPr="008C387B">
        <w:rPr>
          <w:sz w:val="24"/>
          <w:szCs w:val="24"/>
        </w:rPr>
        <w:t>5-6</w:t>
      </w:r>
      <w:r w:rsidR="00306638" w:rsidRPr="008C387B">
        <w:rPr>
          <w:sz w:val="24"/>
          <w:szCs w:val="24"/>
        </w:rPr>
        <w:t>)</w:t>
      </w:r>
      <w:r w:rsidR="008C387B">
        <w:rPr>
          <w:sz w:val="24"/>
          <w:szCs w:val="24"/>
        </w:rPr>
        <w:t>.</w:t>
      </w:r>
    </w:p>
    <w:p w:rsidR="00306638" w:rsidRPr="00AB7706" w:rsidRDefault="00306638" w:rsidP="00097AFE">
      <w:pPr>
        <w:pStyle w:val="Titolotabella"/>
      </w:pPr>
      <w:r w:rsidRPr="00AB7706">
        <w:t>Fig.4 – La curva dei redditi e le divergenze generazionali</w:t>
      </w:r>
      <w:r w:rsidR="00B13FB4" w:rsidRPr="00AB7706">
        <w:t xml:space="preserve"> </w:t>
      </w:r>
      <w:r w:rsidR="00B13FB4" w:rsidRPr="0075639A">
        <w:t>(Euro</w:t>
      </w:r>
      <w:r w:rsidR="00034209" w:rsidRPr="0075639A">
        <w:t>/anno</w:t>
      </w:r>
      <w:r w:rsidR="00B13FB4" w:rsidRPr="00D74C84">
        <w:t xml:space="preserve"> a valori correnti)</w:t>
      </w:r>
    </w:p>
    <w:p w:rsidR="00EB3040" w:rsidRPr="006530A7" w:rsidRDefault="00034209" w:rsidP="009B4409">
      <w:pPr>
        <w:spacing w:before="120" w:after="120"/>
        <w:jc w:val="center"/>
      </w:pPr>
      <w:r>
        <w:rPr>
          <w:noProof/>
          <w:lang w:eastAsia="it-IT"/>
        </w:rPr>
        <w:drawing>
          <wp:inline distT="0" distB="0" distL="0" distR="0" wp14:anchorId="01A42A9B" wp14:editId="39B6FD97">
            <wp:extent cx="5400040" cy="2502877"/>
            <wp:effectExtent l="0" t="0" r="10160" b="1206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7BB1" w:rsidRPr="00F54056" w:rsidRDefault="001276D0" w:rsidP="00F54056">
      <w:pPr>
        <w:pStyle w:val="StileFonte"/>
      </w:pPr>
      <w:r>
        <w:t xml:space="preserve">Fonte: </w:t>
      </w:r>
      <w:r w:rsidR="00EF7120" w:rsidRPr="006530A7">
        <w:t>Banca d’Italia –</w:t>
      </w:r>
      <w:r w:rsidR="00D74C84">
        <w:t xml:space="preserve"> </w:t>
      </w:r>
      <w:r w:rsidR="00EF7120" w:rsidRPr="006530A7">
        <w:t>B</w:t>
      </w:r>
      <w:r w:rsidR="009B4409">
        <w:t>ilanci delle famiglie, vari ann</w:t>
      </w:r>
      <w:r>
        <w:t>i</w:t>
      </w:r>
    </w:p>
    <w:p w:rsidR="00DC7BB1" w:rsidRPr="00AB2635" w:rsidRDefault="00DC7BB1" w:rsidP="00DC7BB1">
      <w:pPr>
        <w:spacing w:before="120" w:after="120"/>
        <w:jc w:val="both"/>
        <w:rPr>
          <w:sz w:val="24"/>
          <w:szCs w:val="24"/>
        </w:rPr>
      </w:pPr>
      <w:r w:rsidRPr="009B4409">
        <w:rPr>
          <w:sz w:val="24"/>
          <w:szCs w:val="24"/>
        </w:rPr>
        <w:t xml:space="preserve">I cambiamenti nella configurazione della domanda presuppongono un adeguamento dei format e della tipologia d’offerta, e costituiscono ulteriore elemento di stimolo a una riconversione dei modelli di produzione, promozione e vendita. </w:t>
      </w:r>
    </w:p>
    <w:p w:rsidR="00DC7BB1" w:rsidRDefault="00DC7BB1" w:rsidP="00DC7BB1">
      <w:pPr>
        <w:spacing w:before="120" w:after="120"/>
        <w:jc w:val="both"/>
        <w:rPr>
          <w:sz w:val="24"/>
          <w:szCs w:val="24"/>
        </w:rPr>
      </w:pPr>
      <w:r w:rsidRPr="009B4409">
        <w:rPr>
          <w:sz w:val="24"/>
          <w:szCs w:val="24"/>
        </w:rPr>
        <w:t xml:space="preserve">Infine, fra i fattori che incidono sul mercato residenziale, ancora in Italia preponderante rispetto agli altri segmenti, è la </w:t>
      </w:r>
      <w:r w:rsidRPr="009B4409">
        <w:rPr>
          <w:b/>
          <w:sz w:val="24"/>
          <w:szCs w:val="24"/>
        </w:rPr>
        <w:t>stabilizzazione dell’accesso alla proprietà</w:t>
      </w:r>
      <w:r w:rsidRPr="009B4409">
        <w:rPr>
          <w:sz w:val="24"/>
          <w:szCs w:val="24"/>
        </w:rPr>
        <w:t>. Nel corso del tempo, la forte tensione della famiglia italiana a ricercare una stabilizzazione alloggiativa con la proprietà della casa, ha portato a un progressivo passaggio dall’affitto alla proprietà. Nei primi anni del dopoguerra praticamente le famiglie italiane erano divise a metà con 5,5 milioni di proprietari e 5,2 milioni di</w:t>
      </w:r>
      <w:r>
        <w:rPr>
          <w:sz w:val="24"/>
          <w:szCs w:val="24"/>
        </w:rPr>
        <w:t xml:space="preserve"> </w:t>
      </w:r>
      <w:r w:rsidRPr="009B4409">
        <w:rPr>
          <w:sz w:val="24"/>
          <w:szCs w:val="24"/>
        </w:rPr>
        <w:t>inquilini. Attualmente (2014) i proprietari sono diventa</w:t>
      </w:r>
      <w:r w:rsidR="00912D61">
        <w:rPr>
          <w:sz w:val="24"/>
          <w:szCs w:val="24"/>
        </w:rPr>
        <w:t>t</w:t>
      </w:r>
      <w:r w:rsidRPr="009B4409">
        <w:rPr>
          <w:sz w:val="24"/>
          <w:szCs w:val="24"/>
        </w:rPr>
        <w:t xml:space="preserve">i 20,3 milioni e gli inquilini 4,6 milioni. </w:t>
      </w:r>
      <w:r w:rsidR="00912D61">
        <w:rPr>
          <w:sz w:val="24"/>
          <w:szCs w:val="24"/>
        </w:rPr>
        <w:t>Il periodo</w:t>
      </w:r>
      <w:r w:rsidRPr="009B4409">
        <w:rPr>
          <w:sz w:val="24"/>
          <w:szCs w:val="24"/>
        </w:rPr>
        <w:t xml:space="preserve"> di maggiore espansione sono stati gli anni ’80</w:t>
      </w:r>
      <w:r w:rsidR="00E23CC0">
        <w:rPr>
          <w:sz w:val="24"/>
          <w:szCs w:val="24"/>
        </w:rPr>
        <w:t>,</w:t>
      </w:r>
      <w:r w:rsidRPr="009B4409">
        <w:rPr>
          <w:sz w:val="24"/>
          <w:szCs w:val="24"/>
        </w:rPr>
        <w:t xml:space="preserve"> un decennio che ha visto un aumento di 340.000 nuovi proprietari annui. I primi anni duemila costituiscono, poi, il periodo di massima espansione della proprietà immobiliare. Gli anni più recenti registrano</w:t>
      </w:r>
      <w:r w:rsidR="00FA0EC6">
        <w:rPr>
          <w:sz w:val="24"/>
          <w:szCs w:val="24"/>
        </w:rPr>
        <w:t>, invece,</w:t>
      </w:r>
      <w:r w:rsidRPr="009B4409">
        <w:rPr>
          <w:sz w:val="24"/>
          <w:szCs w:val="24"/>
        </w:rPr>
        <w:t xml:space="preserve"> un rallentamento, che non può essere spiegato dal solo andamento delle compravendite (peraltro in ripresa dal 2014), ma dai più complessi movimenti interni al mercato con l’utilizzo dei patrimoni familiari e l’uso prolungato </w:t>
      </w:r>
      <w:r w:rsidR="00FA0EC6">
        <w:rPr>
          <w:sz w:val="24"/>
          <w:szCs w:val="24"/>
        </w:rPr>
        <w:t xml:space="preserve">della stessa abitazione per la </w:t>
      </w:r>
      <w:r w:rsidRPr="009B4409">
        <w:rPr>
          <w:sz w:val="24"/>
          <w:szCs w:val="24"/>
        </w:rPr>
        <w:t xml:space="preserve">longevità </w:t>
      </w:r>
      <w:r w:rsidR="00FA0EC6">
        <w:rPr>
          <w:sz w:val="24"/>
          <w:szCs w:val="24"/>
        </w:rPr>
        <w:t>degli utilizzatori</w:t>
      </w:r>
      <w:r w:rsidR="00D74C84">
        <w:rPr>
          <w:sz w:val="24"/>
          <w:szCs w:val="24"/>
        </w:rPr>
        <w:t xml:space="preserve"> </w:t>
      </w:r>
      <w:r w:rsidR="00F1212E" w:rsidRPr="008C387B">
        <w:rPr>
          <w:sz w:val="24"/>
          <w:szCs w:val="24"/>
        </w:rPr>
        <w:t>(fi</w:t>
      </w:r>
      <w:r w:rsidR="00062516" w:rsidRPr="008C387B">
        <w:rPr>
          <w:sz w:val="24"/>
          <w:szCs w:val="24"/>
        </w:rPr>
        <w:t>g</w:t>
      </w:r>
      <w:r w:rsidRPr="008C387B">
        <w:rPr>
          <w:sz w:val="24"/>
          <w:szCs w:val="24"/>
        </w:rPr>
        <w:t>.</w:t>
      </w:r>
      <w:r w:rsidR="00BF7694" w:rsidRPr="008C387B">
        <w:rPr>
          <w:sz w:val="24"/>
          <w:szCs w:val="24"/>
        </w:rPr>
        <w:t xml:space="preserve"> </w:t>
      </w:r>
      <w:r w:rsidRPr="008C387B">
        <w:rPr>
          <w:sz w:val="24"/>
          <w:szCs w:val="24"/>
        </w:rPr>
        <w:t>7).</w:t>
      </w:r>
    </w:p>
    <w:p w:rsidR="00C80B5E" w:rsidRPr="00AB7706" w:rsidRDefault="00506EE0" w:rsidP="00097AFE">
      <w:pPr>
        <w:pStyle w:val="Titolotabella"/>
      </w:pPr>
      <w:r>
        <w:lastRenderedPageBreak/>
        <w:t>Fig.</w:t>
      </w:r>
      <w:r w:rsidR="00C80B5E" w:rsidRPr="00AB7706">
        <w:t xml:space="preserve">5 </w:t>
      </w:r>
      <w:r w:rsidR="00E26D59">
        <w:t xml:space="preserve">– </w:t>
      </w:r>
      <w:r w:rsidR="00C80B5E" w:rsidRPr="00AB7706">
        <w:t>La crescita della popolazione straniera (v.a. in migliaia)</w:t>
      </w:r>
    </w:p>
    <w:p w:rsidR="00C80B5E" w:rsidRPr="006530A7" w:rsidRDefault="00290DA3" w:rsidP="009B4409">
      <w:pPr>
        <w:spacing w:before="120" w:after="120"/>
        <w:jc w:val="center"/>
        <w:rPr>
          <w:i/>
          <w:color w:val="000000"/>
          <w:sz w:val="20"/>
          <w:szCs w:val="20"/>
        </w:rPr>
      </w:pPr>
      <w:r>
        <w:rPr>
          <w:noProof/>
          <w:lang w:eastAsia="it-IT"/>
        </w:rPr>
        <w:drawing>
          <wp:inline distT="0" distB="0" distL="0" distR="0" wp14:anchorId="3674C6C6" wp14:editId="649D18BC">
            <wp:extent cx="5452534" cy="2849245"/>
            <wp:effectExtent l="0" t="0" r="15240" b="8255"/>
            <wp:docPr id="451" name="Grafico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7BB1" w:rsidRDefault="00E23CC0" w:rsidP="00DC7BB1">
      <w:pPr>
        <w:pStyle w:val="StileFonte"/>
        <w:jc w:val="left"/>
      </w:pPr>
      <w:r>
        <w:t>Fonte</w:t>
      </w:r>
      <w:r w:rsidR="00C80B5E" w:rsidRPr="006530A7">
        <w:t xml:space="preserve">: </w:t>
      </w:r>
      <w:r w:rsidR="001276D0">
        <w:t xml:space="preserve">elaborazione </w:t>
      </w:r>
      <w:r w:rsidR="006530A7">
        <w:t>RUR</w:t>
      </w:r>
      <w:r>
        <w:t xml:space="preserve"> </w:t>
      </w:r>
      <w:r w:rsidR="006530A7">
        <w:t xml:space="preserve">su </w:t>
      </w:r>
      <w:r w:rsidR="00C80B5E" w:rsidRPr="006530A7">
        <w:t>dati Istat</w:t>
      </w:r>
      <w:r w:rsidR="008D04F1">
        <w:t>, vari anni</w:t>
      </w:r>
    </w:p>
    <w:p w:rsidR="00125A63" w:rsidRPr="00AB7706" w:rsidRDefault="00506EE0" w:rsidP="00097AFE">
      <w:pPr>
        <w:pStyle w:val="Titolotabella"/>
      </w:pPr>
      <w:r>
        <w:t>Fig.</w:t>
      </w:r>
      <w:r w:rsidR="00125A63" w:rsidRPr="00AB7706">
        <w:t xml:space="preserve">6 </w:t>
      </w:r>
      <w:r w:rsidR="00296B00">
        <w:t>–</w:t>
      </w:r>
      <w:r w:rsidR="00125A63" w:rsidRPr="00AB7706">
        <w:t xml:space="preserve"> </w:t>
      </w:r>
      <w:r w:rsidR="00296B00">
        <w:t>L’incidenza delle famiglie immigrate</w:t>
      </w:r>
      <w:r w:rsidR="00125A63" w:rsidRPr="00AB7706">
        <w:t xml:space="preserve"> </w:t>
      </w:r>
      <w:r w:rsidR="00AA46EB" w:rsidRPr="00AB7706">
        <w:t xml:space="preserve">(1995-2014) </w:t>
      </w:r>
      <w:r w:rsidR="00125A63" w:rsidRPr="00AB7706">
        <w:t>(val.%)</w:t>
      </w:r>
    </w:p>
    <w:p w:rsidR="00454666" w:rsidRPr="006530A7" w:rsidRDefault="00454666" w:rsidP="009B4409">
      <w:pPr>
        <w:spacing w:before="120" w:after="120"/>
        <w:jc w:val="center"/>
      </w:pPr>
      <w:r w:rsidRPr="006530A7">
        <w:rPr>
          <w:noProof/>
          <w:lang w:eastAsia="it-IT"/>
        </w:rPr>
        <w:drawing>
          <wp:inline distT="0" distB="0" distL="0" distR="0" wp14:anchorId="047A1BEB" wp14:editId="5B8DC409">
            <wp:extent cx="5472430" cy="2820202"/>
            <wp:effectExtent l="0" t="0" r="13970" b="1841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10A1" w:rsidRPr="00D510A1" w:rsidRDefault="00454666" w:rsidP="00D510A1">
      <w:pPr>
        <w:pStyle w:val="StileFonte"/>
      </w:pPr>
      <w:r w:rsidRPr="006530A7">
        <w:t>Fonte: Banca d’Italia</w:t>
      </w:r>
      <w:r w:rsidR="008D04F1">
        <w:t>, vari anni</w:t>
      </w:r>
      <w:r w:rsidR="00D510A1">
        <w:br w:type="page"/>
      </w:r>
    </w:p>
    <w:p w:rsidR="00DF07EE" w:rsidRPr="00AB7706" w:rsidRDefault="00DF07EE" w:rsidP="00097AFE">
      <w:pPr>
        <w:pStyle w:val="Titolotabella"/>
      </w:pPr>
      <w:r w:rsidRPr="00FC6422">
        <w:lastRenderedPageBreak/>
        <w:t xml:space="preserve">Fig.7 – La poderosa crescita dei proprietari </w:t>
      </w:r>
      <w:r w:rsidR="00925112" w:rsidRPr="00FC6422">
        <w:t>(v.a. in milioni)</w:t>
      </w:r>
    </w:p>
    <w:p w:rsidR="00DF07EE" w:rsidRPr="006530A7" w:rsidRDefault="00DF07EE" w:rsidP="009B4409">
      <w:pPr>
        <w:spacing w:before="120" w:after="120"/>
        <w:jc w:val="center"/>
      </w:pPr>
      <w:r w:rsidRPr="00DA2FB1">
        <w:rPr>
          <w:noProof/>
          <w:highlight w:val="yellow"/>
          <w:lang w:eastAsia="it-IT"/>
        </w:rPr>
        <w:drawing>
          <wp:inline distT="0" distB="0" distL="0" distR="0" wp14:anchorId="68A679EA" wp14:editId="559FEE62">
            <wp:extent cx="5400675" cy="2819400"/>
            <wp:effectExtent l="0" t="0" r="9525" b="0"/>
            <wp:docPr id="25" name="Gra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7BB1" w:rsidRDefault="00E23CC0" w:rsidP="00F54056">
      <w:pPr>
        <w:pStyle w:val="StileFonte"/>
      </w:pPr>
      <w:r>
        <w:t>Fonte</w:t>
      </w:r>
      <w:r w:rsidR="006530A7" w:rsidRPr="006530A7">
        <w:t xml:space="preserve">: </w:t>
      </w:r>
      <w:r w:rsidR="006530A7">
        <w:t>elaborazion</w:t>
      </w:r>
      <w:r w:rsidR="003F0759">
        <w:t xml:space="preserve">e </w:t>
      </w:r>
      <w:r w:rsidR="006530A7">
        <w:t>RUR</w:t>
      </w:r>
      <w:r>
        <w:t xml:space="preserve"> </w:t>
      </w:r>
      <w:r w:rsidR="006530A7">
        <w:t xml:space="preserve">su </w:t>
      </w:r>
      <w:r w:rsidR="006530A7" w:rsidRPr="006530A7">
        <w:t>dati Istat</w:t>
      </w:r>
      <w:r w:rsidR="008D04F1">
        <w:t>, vari anni</w:t>
      </w:r>
    </w:p>
    <w:p w:rsidR="009B4572" w:rsidRPr="0088646B" w:rsidRDefault="00AB2635" w:rsidP="00504700">
      <w:pPr>
        <w:spacing w:before="120" w:after="120"/>
        <w:jc w:val="both"/>
        <w:rPr>
          <w:sz w:val="24"/>
          <w:szCs w:val="24"/>
        </w:rPr>
      </w:pPr>
      <w:r w:rsidRPr="009B4409">
        <w:rPr>
          <w:sz w:val="24"/>
          <w:szCs w:val="24"/>
        </w:rPr>
        <w:t>Peraltro gli attuali inquilini presentano caratteristiche sociali diverse da quelle della tr</w:t>
      </w:r>
      <w:r w:rsidR="00E23CC0">
        <w:rPr>
          <w:sz w:val="24"/>
          <w:szCs w:val="24"/>
        </w:rPr>
        <w:t>adizionale famiglia stabilizzata</w:t>
      </w:r>
      <w:r w:rsidRPr="009B4409">
        <w:rPr>
          <w:sz w:val="24"/>
          <w:szCs w:val="24"/>
        </w:rPr>
        <w:t>. Il valore medio di affittuari sull’intera popolazione è pari al 18,5%, che però sale fra i singoli (non anziani) al 27,8%, fra le famiglie monogenitoriali con figli adulti al 27% e quelle con figli minori al 23,8%. In altri termini una componente significativa è costituita da single in grado di pagare un affitto, quindi tendenzialmente occupati ma probabilmente mobili sul territorio, per r</w:t>
      </w:r>
      <w:r w:rsidR="00E56801">
        <w:rPr>
          <w:sz w:val="24"/>
          <w:szCs w:val="24"/>
        </w:rPr>
        <w:t xml:space="preserve">agioni lavorative. </w:t>
      </w:r>
      <w:r w:rsidR="00DF07EE" w:rsidRPr="0088646B">
        <w:rPr>
          <w:sz w:val="24"/>
          <w:szCs w:val="24"/>
        </w:rPr>
        <w:t xml:space="preserve">I </w:t>
      </w:r>
      <w:r w:rsidR="009B4572" w:rsidRPr="0088646B">
        <w:rPr>
          <w:sz w:val="24"/>
          <w:szCs w:val="24"/>
        </w:rPr>
        <w:t xml:space="preserve">nuclei con un solo genitore, sono in gran parte causati da separazioni e divorzi, e anch’essi rappresentano una domanda potenziale con una certa instabilità e </w:t>
      </w:r>
      <w:r w:rsidR="00612DCE">
        <w:rPr>
          <w:sz w:val="24"/>
          <w:szCs w:val="24"/>
        </w:rPr>
        <w:t xml:space="preserve">con </w:t>
      </w:r>
      <w:r w:rsidR="009B4572" w:rsidRPr="0088646B">
        <w:rPr>
          <w:sz w:val="24"/>
          <w:szCs w:val="24"/>
        </w:rPr>
        <w:t>disponibilità di reddito “frammentate”. L’opposto rispetto alla famiglia tradizionale che</w:t>
      </w:r>
      <w:r w:rsidR="00612DCE">
        <w:rPr>
          <w:sz w:val="24"/>
          <w:szCs w:val="24"/>
        </w:rPr>
        <w:t>,</w:t>
      </w:r>
      <w:r w:rsidR="009B4572" w:rsidRPr="0088646B">
        <w:rPr>
          <w:sz w:val="24"/>
          <w:szCs w:val="24"/>
        </w:rPr>
        <w:t xml:space="preserve"> invece</w:t>
      </w:r>
      <w:r w:rsidR="00612DCE">
        <w:rPr>
          <w:sz w:val="24"/>
          <w:szCs w:val="24"/>
        </w:rPr>
        <w:t>,</w:t>
      </w:r>
      <w:r w:rsidR="009B4572" w:rsidRPr="0088646B">
        <w:rPr>
          <w:sz w:val="24"/>
          <w:szCs w:val="24"/>
        </w:rPr>
        <w:t xml:space="preserve"> fa convergere più risorse economiche sull’obbiettivo di acquisto di un’abitazione. </w:t>
      </w:r>
    </w:p>
    <w:p w:rsidR="00A012C4" w:rsidRPr="0088646B" w:rsidRDefault="009B4572" w:rsidP="00504700">
      <w:pPr>
        <w:spacing w:before="120" w:after="120"/>
        <w:jc w:val="both"/>
        <w:rPr>
          <w:sz w:val="24"/>
          <w:szCs w:val="24"/>
        </w:rPr>
      </w:pPr>
      <w:r w:rsidRPr="0088646B">
        <w:rPr>
          <w:sz w:val="24"/>
          <w:szCs w:val="24"/>
        </w:rPr>
        <w:t>Tali mutate condizioni sono largamente presenti negli altri grandi mercati europei e non costituiscono un vincolo allo sviluppo di una florida industria immobiliare, che nel tempo è stata in grado di modernizzarsi e di accrescere competenze e iniziative.</w:t>
      </w:r>
      <w:r w:rsidR="00B81FAB" w:rsidRPr="0088646B">
        <w:rPr>
          <w:sz w:val="24"/>
          <w:szCs w:val="24"/>
        </w:rPr>
        <w:t xml:space="preserve"> </w:t>
      </w:r>
    </w:p>
    <w:p w:rsidR="004B06AA" w:rsidRPr="0088646B" w:rsidRDefault="00A012C4" w:rsidP="00504700">
      <w:pPr>
        <w:spacing w:before="120" w:after="120"/>
        <w:jc w:val="both"/>
        <w:rPr>
          <w:sz w:val="24"/>
          <w:szCs w:val="24"/>
        </w:rPr>
      </w:pPr>
      <w:r w:rsidRPr="0088646B">
        <w:rPr>
          <w:sz w:val="24"/>
          <w:szCs w:val="24"/>
        </w:rPr>
        <w:t xml:space="preserve">Prova ne sia che, nonostante tutto, la consistenza della </w:t>
      </w:r>
      <w:r w:rsidRPr="0088646B">
        <w:rPr>
          <w:b/>
          <w:sz w:val="24"/>
          <w:szCs w:val="24"/>
        </w:rPr>
        <w:t xml:space="preserve">domanda residenziale latente </w:t>
      </w:r>
      <w:r w:rsidRPr="0088646B">
        <w:rPr>
          <w:sz w:val="24"/>
          <w:szCs w:val="24"/>
        </w:rPr>
        <w:t xml:space="preserve">continua a registrare valori significativamente più elevati del volume degli scambi attualmente realizzati nel mercato. </w:t>
      </w:r>
      <w:r w:rsidR="004B06AA" w:rsidRPr="0088646B">
        <w:rPr>
          <w:sz w:val="24"/>
          <w:szCs w:val="24"/>
        </w:rPr>
        <w:t>Sulla base della propensione all’acquisto la R</w:t>
      </w:r>
      <w:r w:rsidR="00546C5D">
        <w:rPr>
          <w:sz w:val="24"/>
          <w:szCs w:val="24"/>
        </w:rPr>
        <w:t>UR</w:t>
      </w:r>
      <w:r w:rsidR="004B06AA" w:rsidRPr="0088646B">
        <w:rPr>
          <w:sz w:val="24"/>
          <w:szCs w:val="24"/>
        </w:rPr>
        <w:t xml:space="preserve"> stima che </w:t>
      </w:r>
      <w:r w:rsidR="004B06AA" w:rsidRPr="00612DCE">
        <w:rPr>
          <w:b/>
          <w:sz w:val="24"/>
          <w:szCs w:val="24"/>
        </w:rPr>
        <w:t>nel 2015 siano state 911mila le famiglie alla ricerca di un alloggio</w:t>
      </w:r>
      <w:r w:rsidR="004B06AA" w:rsidRPr="0088646B">
        <w:rPr>
          <w:sz w:val="24"/>
          <w:szCs w:val="24"/>
        </w:rPr>
        <w:t xml:space="preserve"> e che la </w:t>
      </w:r>
      <w:r w:rsidR="004B06AA" w:rsidRPr="0088646B">
        <w:rPr>
          <w:sz w:val="24"/>
          <w:szCs w:val="24"/>
        </w:rPr>
        <w:lastRenderedPageBreak/>
        <w:t>compravendita effettiva abbia riguardato 450mila abitazioni (stima effettuata su dati Omi 3°trimestre 2015).</w:t>
      </w:r>
    </w:p>
    <w:p w:rsidR="0088646B" w:rsidRDefault="004B06AA" w:rsidP="00504700">
      <w:pPr>
        <w:spacing w:before="120" w:after="120"/>
        <w:jc w:val="both"/>
        <w:rPr>
          <w:sz w:val="24"/>
          <w:szCs w:val="24"/>
        </w:rPr>
      </w:pPr>
      <w:r w:rsidRPr="0088646B">
        <w:rPr>
          <w:sz w:val="24"/>
          <w:szCs w:val="24"/>
        </w:rPr>
        <w:t>Rispetto al punto di culmine del ciclo precedente</w:t>
      </w:r>
      <w:r w:rsidR="00AB2C6D" w:rsidRPr="0088646B">
        <w:rPr>
          <w:sz w:val="24"/>
          <w:szCs w:val="24"/>
        </w:rPr>
        <w:t>,</w:t>
      </w:r>
      <w:r w:rsidRPr="0088646B">
        <w:rPr>
          <w:sz w:val="24"/>
          <w:szCs w:val="24"/>
        </w:rPr>
        <w:t xml:space="preserve"> e cioè il 2006, la domanda è inferiore del 22%, ma il mercato effettivo, pu</w:t>
      </w:r>
      <w:r w:rsidR="00D74C84">
        <w:rPr>
          <w:sz w:val="24"/>
          <w:szCs w:val="24"/>
        </w:rPr>
        <w:t>r in ripresa dal 2014, risulta</w:t>
      </w:r>
      <w:r w:rsidRPr="0088646B">
        <w:rPr>
          <w:sz w:val="24"/>
          <w:szCs w:val="24"/>
        </w:rPr>
        <w:t xml:space="preserve"> ridimensionato </w:t>
      </w:r>
      <w:r w:rsidRPr="00831C03">
        <w:rPr>
          <w:sz w:val="24"/>
          <w:szCs w:val="24"/>
        </w:rPr>
        <w:t xml:space="preserve">del 48% </w:t>
      </w:r>
      <w:r w:rsidRPr="008C387B">
        <w:rPr>
          <w:sz w:val="24"/>
          <w:szCs w:val="24"/>
        </w:rPr>
        <w:t>(</w:t>
      </w:r>
      <w:r w:rsidR="00697BC7" w:rsidRPr="008C387B">
        <w:rPr>
          <w:sz w:val="24"/>
          <w:szCs w:val="24"/>
        </w:rPr>
        <w:t>f</w:t>
      </w:r>
      <w:r w:rsidRPr="008C387B">
        <w:rPr>
          <w:sz w:val="24"/>
          <w:szCs w:val="24"/>
        </w:rPr>
        <w:t>ig.</w:t>
      </w:r>
      <w:r w:rsidR="00E56801" w:rsidRPr="008C387B">
        <w:rPr>
          <w:sz w:val="24"/>
          <w:szCs w:val="24"/>
        </w:rPr>
        <w:t xml:space="preserve"> </w:t>
      </w:r>
      <w:r w:rsidR="005A66DF" w:rsidRPr="008C387B">
        <w:rPr>
          <w:sz w:val="24"/>
          <w:szCs w:val="24"/>
        </w:rPr>
        <w:t>8</w:t>
      </w:r>
      <w:r w:rsidR="00DF07EE" w:rsidRPr="008C387B">
        <w:rPr>
          <w:sz w:val="24"/>
          <w:szCs w:val="24"/>
        </w:rPr>
        <w:t>).</w:t>
      </w:r>
    </w:p>
    <w:p w:rsidR="00912D61" w:rsidRPr="00AB7706" w:rsidRDefault="00912D61" w:rsidP="00912D61">
      <w:pPr>
        <w:pStyle w:val="Titolotabella"/>
      </w:pPr>
      <w:r w:rsidRPr="00AB7706">
        <w:t>Fig.</w:t>
      </w:r>
      <w:r>
        <w:t>8</w:t>
      </w:r>
      <w:r w:rsidRPr="00AB7706">
        <w:t xml:space="preserve"> – Una domanda residenziale in crescita</w:t>
      </w:r>
    </w:p>
    <w:p w:rsidR="00912D61" w:rsidRPr="006530A7" w:rsidRDefault="00912D61" w:rsidP="00912D61">
      <w:pPr>
        <w:spacing w:before="120" w:after="120"/>
        <w:jc w:val="center"/>
      </w:pPr>
      <w:r w:rsidRPr="006530A7">
        <w:rPr>
          <w:noProof/>
          <w:lang w:eastAsia="it-IT"/>
        </w:rPr>
        <w:drawing>
          <wp:inline distT="0" distB="0" distL="0" distR="0" wp14:anchorId="03420E82" wp14:editId="1833327F">
            <wp:extent cx="5403272" cy="2398815"/>
            <wp:effectExtent l="0" t="0" r="26035" b="20955"/>
            <wp:docPr id="27" name="Gra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2D61" w:rsidRPr="00912D61" w:rsidRDefault="00912D61" w:rsidP="00912D61">
      <w:pPr>
        <w:pStyle w:val="StileFonte"/>
      </w:pPr>
      <w:r>
        <w:t>Fonte</w:t>
      </w:r>
      <w:r w:rsidR="00546C5D">
        <w:t>: Istat, Omi, Atlante RE e RUR</w:t>
      </w:r>
      <w:r>
        <w:t>, vari anni</w:t>
      </w:r>
    </w:p>
    <w:p w:rsidR="00255609" w:rsidRPr="00255609" w:rsidRDefault="00255609" w:rsidP="00255609">
      <w:pPr>
        <w:pStyle w:val="Titolo2"/>
        <w:numPr>
          <w:ilvl w:val="1"/>
          <w:numId w:val="16"/>
        </w:numPr>
        <w:spacing w:before="640" w:after="320"/>
        <w:ind w:left="0" w:firstLine="0"/>
        <w:rPr>
          <w:rFonts w:asciiTheme="minorHAnsi" w:hAnsiTheme="minorHAnsi"/>
          <w:color w:val="auto"/>
        </w:rPr>
      </w:pPr>
      <w:bookmarkStart w:id="5" w:name="_Toc445539588"/>
      <w:r w:rsidRPr="00255609">
        <w:rPr>
          <w:rFonts w:asciiTheme="minorHAnsi" w:hAnsiTheme="minorHAnsi"/>
          <w:color w:val="auto"/>
        </w:rPr>
        <w:t>Mercato corporate in attesa del rilancio dell’economia</w:t>
      </w:r>
      <w:bookmarkEnd w:id="5"/>
    </w:p>
    <w:p w:rsidR="00DD73C1" w:rsidRPr="0088646B" w:rsidRDefault="00DD73C1" w:rsidP="00DD73C1">
      <w:pPr>
        <w:spacing w:before="120" w:after="120"/>
        <w:jc w:val="both"/>
        <w:rPr>
          <w:sz w:val="24"/>
          <w:szCs w:val="24"/>
        </w:rPr>
      </w:pPr>
      <w:r w:rsidRPr="0088646B">
        <w:rPr>
          <w:sz w:val="24"/>
          <w:szCs w:val="24"/>
        </w:rPr>
        <w:t xml:space="preserve">Piuttosto differente è il contesto relativo al </w:t>
      </w:r>
      <w:r w:rsidRPr="0088646B">
        <w:rPr>
          <w:b/>
          <w:sz w:val="24"/>
          <w:szCs w:val="24"/>
        </w:rPr>
        <w:t>mercato per gli immobili d’impresa</w:t>
      </w:r>
      <w:r w:rsidRPr="0088646B">
        <w:rPr>
          <w:sz w:val="24"/>
          <w:szCs w:val="24"/>
        </w:rPr>
        <w:t xml:space="preserve">, in quanto quei comparti sono più direttamente legati all’andamento dell’economia, della produzione industriale e terziaria, dei consumi e degli investimenti. </w:t>
      </w:r>
    </w:p>
    <w:p w:rsidR="00DD73C1" w:rsidRPr="0088646B" w:rsidRDefault="00DD73C1" w:rsidP="00DD73C1">
      <w:pPr>
        <w:spacing w:before="120" w:after="120"/>
        <w:jc w:val="both"/>
        <w:rPr>
          <w:sz w:val="24"/>
          <w:szCs w:val="24"/>
        </w:rPr>
      </w:pPr>
      <w:r w:rsidRPr="0088646B">
        <w:rPr>
          <w:sz w:val="24"/>
          <w:szCs w:val="24"/>
        </w:rPr>
        <w:t>Inoltre, questi comparti sono più sensibili alle capacità attrattive dell’economia urbana di riferimento e alla qualità complessiva dei servizi metropolitani, primi fra tutti quelli per la mobilità.</w:t>
      </w:r>
    </w:p>
    <w:p w:rsidR="0088646B" w:rsidRPr="000D4635" w:rsidRDefault="00DD73C1" w:rsidP="000D4635">
      <w:pPr>
        <w:spacing w:before="120" w:after="120"/>
        <w:jc w:val="both"/>
        <w:rPr>
          <w:sz w:val="24"/>
          <w:szCs w:val="24"/>
        </w:rPr>
      </w:pPr>
      <w:r w:rsidRPr="0088646B">
        <w:rPr>
          <w:sz w:val="24"/>
          <w:szCs w:val="24"/>
        </w:rPr>
        <w:t xml:space="preserve">Il </w:t>
      </w:r>
      <w:r w:rsidRPr="00255609">
        <w:rPr>
          <w:b/>
          <w:sz w:val="24"/>
          <w:szCs w:val="24"/>
        </w:rPr>
        <w:t>commerciale</w:t>
      </w:r>
      <w:r w:rsidRPr="0088646B">
        <w:rPr>
          <w:sz w:val="24"/>
          <w:szCs w:val="24"/>
        </w:rPr>
        <w:t xml:space="preserve"> resiste nelle location di maggior prestigio anche perché può contare su una domanda ricca e cosmopolita presente nelle città più importanti e contestualmente anche più interessanti per le diverse componenti del turismo come Roma, Milano, Venezia, Firenze, Napoli, e persino alcune città di minori dimensioni come Verona, Padova, Bologna o Bari.</w:t>
      </w:r>
    </w:p>
    <w:p w:rsidR="000D4635" w:rsidRDefault="00DA4E0C" w:rsidP="00F463C6">
      <w:pPr>
        <w:spacing w:before="120" w:after="120"/>
        <w:jc w:val="both"/>
        <w:rPr>
          <w:sz w:val="24"/>
          <w:szCs w:val="24"/>
        </w:rPr>
      </w:pPr>
      <w:r w:rsidRPr="0088646B">
        <w:rPr>
          <w:sz w:val="24"/>
          <w:szCs w:val="24"/>
        </w:rPr>
        <w:lastRenderedPageBreak/>
        <w:t>Per i centri commerciali è in corso una riflessione riguardant</w:t>
      </w:r>
      <w:r w:rsidR="00E23CC0">
        <w:rPr>
          <w:sz w:val="24"/>
          <w:szCs w:val="24"/>
        </w:rPr>
        <w:t>e</w:t>
      </w:r>
      <w:r w:rsidRPr="0088646B">
        <w:rPr>
          <w:sz w:val="24"/>
          <w:szCs w:val="24"/>
        </w:rPr>
        <w:t xml:space="preserve"> i format e il rapporto con il territorio in un modello di consumo che prevede anche nuove modalità di spesa.</w:t>
      </w:r>
    </w:p>
    <w:p w:rsidR="00DA4E0C" w:rsidRPr="0088646B" w:rsidRDefault="00DA4E0C" w:rsidP="00F463C6">
      <w:pPr>
        <w:spacing w:before="120" w:after="120"/>
        <w:jc w:val="both"/>
        <w:rPr>
          <w:sz w:val="24"/>
          <w:szCs w:val="24"/>
        </w:rPr>
      </w:pPr>
      <w:r w:rsidRPr="0088646B">
        <w:rPr>
          <w:sz w:val="24"/>
          <w:szCs w:val="24"/>
        </w:rPr>
        <w:t xml:space="preserve">L’andamento del mercato degli </w:t>
      </w:r>
      <w:r w:rsidRPr="00255609">
        <w:rPr>
          <w:b/>
          <w:sz w:val="24"/>
          <w:szCs w:val="24"/>
        </w:rPr>
        <w:t xml:space="preserve">uffici </w:t>
      </w:r>
      <w:r w:rsidRPr="0088646B">
        <w:rPr>
          <w:sz w:val="24"/>
          <w:szCs w:val="24"/>
        </w:rPr>
        <w:t>rispecchia il combinarsi di diversi fattori</w:t>
      </w:r>
      <w:r w:rsidR="00E23CC0">
        <w:rPr>
          <w:sz w:val="24"/>
          <w:szCs w:val="24"/>
        </w:rPr>
        <w:t>:</w:t>
      </w:r>
    </w:p>
    <w:p w:rsidR="00DA4E0C" w:rsidRPr="0088646B" w:rsidRDefault="00697BC7" w:rsidP="00F463C6">
      <w:pPr>
        <w:pStyle w:val="Paragrafoelenco"/>
        <w:numPr>
          <w:ilvl w:val="0"/>
          <w:numId w:val="7"/>
        </w:numPr>
        <w:spacing w:before="120" w:after="120"/>
        <w:jc w:val="both"/>
        <w:rPr>
          <w:sz w:val="24"/>
          <w:szCs w:val="24"/>
        </w:rPr>
      </w:pPr>
      <w:r w:rsidRPr="0088646B">
        <w:rPr>
          <w:sz w:val="24"/>
          <w:szCs w:val="24"/>
        </w:rPr>
        <w:t>i</w:t>
      </w:r>
      <w:r w:rsidR="00DA4E0C" w:rsidRPr="0088646B">
        <w:rPr>
          <w:sz w:val="24"/>
          <w:szCs w:val="24"/>
        </w:rPr>
        <w:t>l più basso grado di innovazione e internazionalizzazione del terziario italiano che non tende a</w:t>
      </w:r>
      <w:r w:rsidR="00D74C84">
        <w:rPr>
          <w:sz w:val="24"/>
          <w:szCs w:val="24"/>
        </w:rPr>
        <w:t>d</w:t>
      </w:r>
      <w:r w:rsidR="00DA4E0C" w:rsidRPr="0088646B">
        <w:rPr>
          <w:sz w:val="24"/>
          <w:szCs w:val="24"/>
        </w:rPr>
        <w:t xml:space="preserve"> </w:t>
      </w:r>
      <w:r w:rsidR="00255609">
        <w:rPr>
          <w:sz w:val="24"/>
          <w:szCs w:val="24"/>
        </w:rPr>
        <w:t>attrarre</w:t>
      </w:r>
      <w:r w:rsidR="00DA4E0C" w:rsidRPr="0088646B">
        <w:rPr>
          <w:sz w:val="24"/>
          <w:szCs w:val="24"/>
        </w:rPr>
        <w:t xml:space="preserve"> gli </w:t>
      </w:r>
      <w:r w:rsidR="00DA4E0C" w:rsidRPr="00E23CC0">
        <w:rPr>
          <w:i/>
          <w:sz w:val="24"/>
          <w:szCs w:val="24"/>
        </w:rPr>
        <w:t>headquarters</w:t>
      </w:r>
      <w:r w:rsidR="00DA4E0C" w:rsidRPr="0088646B">
        <w:rPr>
          <w:sz w:val="24"/>
          <w:szCs w:val="24"/>
        </w:rPr>
        <w:t xml:space="preserve"> </w:t>
      </w:r>
      <w:r w:rsidR="00255609">
        <w:rPr>
          <w:sz w:val="24"/>
          <w:szCs w:val="24"/>
        </w:rPr>
        <w:t xml:space="preserve">delle multinazionali </w:t>
      </w:r>
      <w:r w:rsidR="00DA4E0C" w:rsidRPr="0088646B">
        <w:rPr>
          <w:sz w:val="24"/>
          <w:szCs w:val="24"/>
        </w:rPr>
        <w:t>perché non crescono</w:t>
      </w:r>
      <w:r w:rsidR="00255609">
        <w:rPr>
          <w:sz w:val="24"/>
          <w:szCs w:val="24"/>
        </w:rPr>
        <w:t xml:space="preserve"> le funzioni direzionali</w:t>
      </w:r>
      <w:r w:rsidR="00DA4E0C" w:rsidRPr="0088646B">
        <w:rPr>
          <w:sz w:val="24"/>
          <w:szCs w:val="24"/>
        </w:rPr>
        <w:t xml:space="preserve"> in quanto il mercato dei servizi resi dalle imprese italiane non si è globalizzato, anzi resta per quasi tutti i comparti un mercato domestico;  </w:t>
      </w:r>
    </w:p>
    <w:p w:rsidR="00DA4E0C" w:rsidRPr="0088646B" w:rsidRDefault="00697BC7" w:rsidP="00F463C6">
      <w:pPr>
        <w:pStyle w:val="Paragrafoelenco"/>
        <w:numPr>
          <w:ilvl w:val="0"/>
          <w:numId w:val="7"/>
        </w:numPr>
        <w:spacing w:before="120" w:after="120"/>
        <w:jc w:val="both"/>
        <w:rPr>
          <w:sz w:val="24"/>
          <w:szCs w:val="24"/>
        </w:rPr>
      </w:pPr>
      <w:r w:rsidRPr="0088646B">
        <w:rPr>
          <w:sz w:val="24"/>
          <w:szCs w:val="24"/>
        </w:rPr>
        <w:t>i</w:t>
      </w:r>
      <w:r w:rsidR="00DA4E0C" w:rsidRPr="0088646B">
        <w:rPr>
          <w:sz w:val="24"/>
          <w:szCs w:val="24"/>
        </w:rPr>
        <w:t>mprese multinazionali italiane spostano le loro sedi in paesi dove è più conveniente o più facile gestire il loro business;</w:t>
      </w:r>
    </w:p>
    <w:p w:rsidR="00DA4E0C" w:rsidRPr="0088646B" w:rsidRDefault="00697BC7" w:rsidP="00F463C6">
      <w:pPr>
        <w:pStyle w:val="Paragrafoelenco"/>
        <w:numPr>
          <w:ilvl w:val="0"/>
          <w:numId w:val="7"/>
        </w:numPr>
        <w:spacing w:before="120" w:after="120"/>
        <w:jc w:val="both"/>
        <w:rPr>
          <w:sz w:val="24"/>
          <w:szCs w:val="24"/>
        </w:rPr>
      </w:pPr>
      <w:r w:rsidRPr="0088646B">
        <w:rPr>
          <w:sz w:val="24"/>
          <w:szCs w:val="24"/>
        </w:rPr>
        <w:t>l</w:t>
      </w:r>
      <w:r w:rsidR="00DA4E0C" w:rsidRPr="0088646B">
        <w:rPr>
          <w:sz w:val="24"/>
          <w:szCs w:val="24"/>
        </w:rPr>
        <w:t>e nuove tecnologie riducono l’occupazione tradizionale e quindi i fabbisogni di spazio;</w:t>
      </w:r>
    </w:p>
    <w:p w:rsidR="00DA4E0C" w:rsidRPr="0088646B" w:rsidRDefault="00697BC7" w:rsidP="00F463C6">
      <w:pPr>
        <w:pStyle w:val="Paragrafoelenco"/>
        <w:numPr>
          <w:ilvl w:val="0"/>
          <w:numId w:val="7"/>
        </w:numPr>
        <w:spacing w:before="120" w:after="120"/>
        <w:jc w:val="both"/>
        <w:rPr>
          <w:sz w:val="24"/>
          <w:szCs w:val="24"/>
        </w:rPr>
      </w:pPr>
      <w:r w:rsidRPr="0088646B">
        <w:rPr>
          <w:sz w:val="24"/>
          <w:szCs w:val="24"/>
        </w:rPr>
        <w:t>l</w:t>
      </w:r>
      <w:r w:rsidR="00DA4E0C" w:rsidRPr="0088646B">
        <w:rPr>
          <w:sz w:val="24"/>
          <w:szCs w:val="24"/>
        </w:rPr>
        <w:t xml:space="preserve">a funzione integrativa degli uffici pubblici è oggi soggetta a un contenimento per i tagli della spesa delle pubbliche amministrazioni. </w:t>
      </w:r>
    </w:p>
    <w:p w:rsidR="00255609" w:rsidRDefault="00DA4E0C" w:rsidP="00F463C6">
      <w:pPr>
        <w:spacing w:before="120" w:after="120"/>
        <w:jc w:val="both"/>
        <w:rPr>
          <w:sz w:val="24"/>
          <w:szCs w:val="24"/>
        </w:rPr>
      </w:pPr>
      <w:r w:rsidRPr="0088646B">
        <w:rPr>
          <w:sz w:val="24"/>
          <w:szCs w:val="24"/>
        </w:rPr>
        <w:t xml:space="preserve">Infine, per quanto attiene agli </w:t>
      </w:r>
      <w:r w:rsidRPr="00255609">
        <w:rPr>
          <w:b/>
          <w:sz w:val="24"/>
          <w:szCs w:val="24"/>
        </w:rPr>
        <w:t>immobili industriali</w:t>
      </w:r>
      <w:r w:rsidRPr="0088646B">
        <w:rPr>
          <w:sz w:val="24"/>
          <w:szCs w:val="24"/>
        </w:rPr>
        <w:t xml:space="preserve"> e per la </w:t>
      </w:r>
      <w:r w:rsidRPr="00912D61">
        <w:rPr>
          <w:b/>
          <w:sz w:val="24"/>
          <w:szCs w:val="24"/>
        </w:rPr>
        <w:t>logistica</w:t>
      </w:r>
      <w:r w:rsidRPr="0088646B">
        <w:rPr>
          <w:sz w:val="24"/>
          <w:szCs w:val="24"/>
        </w:rPr>
        <w:t xml:space="preserve">, sono indubbiamente soggetti alla profonda ristrutturazione del comparto manifatturiero, tendente a selezione le aziende sulla base della loro competitività internazionale. </w:t>
      </w:r>
    </w:p>
    <w:p w:rsidR="009923EF" w:rsidRPr="0031643F" w:rsidRDefault="00DA4E0C" w:rsidP="00F463C6">
      <w:pPr>
        <w:spacing w:before="120" w:after="120"/>
        <w:jc w:val="both"/>
        <w:rPr>
          <w:sz w:val="24"/>
          <w:szCs w:val="24"/>
        </w:rPr>
      </w:pPr>
      <w:r w:rsidRPr="0088646B">
        <w:rPr>
          <w:sz w:val="24"/>
          <w:szCs w:val="24"/>
        </w:rPr>
        <w:t xml:space="preserve">Come conseguenza si sta producendo una scrematura </w:t>
      </w:r>
      <w:r w:rsidR="00872C74" w:rsidRPr="0088646B">
        <w:rPr>
          <w:sz w:val="24"/>
          <w:szCs w:val="24"/>
        </w:rPr>
        <w:t>nel tessuto delle PMI, con una completa riconversione anche dei distretti e delle aree artigianali.</w:t>
      </w:r>
    </w:p>
    <w:p w:rsidR="00756800" w:rsidRPr="006530A7" w:rsidRDefault="00756800" w:rsidP="00822ADA">
      <w:pPr>
        <w:pStyle w:val="Titolo2"/>
        <w:numPr>
          <w:ilvl w:val="1"/>
          <w:numId w:val="16"/>
        </w:numPr>
        <w:spacing w:before="640" w:after="320"/>
        <w:ind w:left="0" w:firstLine="0"/>
        <w:rPr>
          <w:rFonts w:asciiTheme="minorHAnsi" w:hAnsiTheme="minorHAnsi"/>
          <w:color w:val="auto"/>
        </w:rPr>
      </w:pPr>
      <w:bookmarkStart w:id="6" w:name="_Toc445539589"/>
      <w:r w:rsidRPr="006530A7">
        <w:rPr>
          <w:rFonts w:asciiTheme="minorHAnsi" w:hAnsiTheme="minorHAnsi"/>
          <w:color w:val="auto"/>
        </w:rPr>
        <w:t>Il futuro del mercato residenziale</w:t>
      </w:r>
      <w:r w:rsidR="003672E6">
        <w:rPr>
          <w:rFonts w:asciiTheme="minorHAnsi" w:hAnsiTheme="minorHAnsi"/>
          <w:color w:val="auto"/>
        </w:rPr>
        <w:t xml:space="preserve">: </w:t>
      </w:r>
      <w:r w:rsidR="00255609">
        <w:rPr>
          <w:rFonts w:asciiTheme="minorHAnsi" w:hAnsiTheme="minorHAnsi"/>
          <w:color w:val="auto"/>
        </w:rPr>
        <w:t xml:space="preserve">le </w:t>
      </w:r>
      <w:r w:rsidR="003672E6">
        <w:rPr>
          <w:rFonts w:asciiTheme="minorHAnsi" w:hAnsiTheme="minorHAnsi"/>
          <w:color w:val="auto"/>
        </w:rPr>
        <w:t>tendenze decennali</w:t>
      </w:r>
      <w:bookmarkEnd w:id="6"/>
    </w:p>
    <w:p w:rsidR="00B45FD9" w:rsidRPr="006530A7" w:rsidRDefault="00B45FD9" w:rsidP="00F463C6">
      <w:pPr>
        <w:spacing w:before="120" w:after="120"/>
        <w:jc w:val="both"/>
        <w:rPr>
          <w:sz w:val="24"/>
          <w:szCs w:val="24"/>
        </w:rPr>
      </w:pPr>
      <w:r w:rsidRPr="006530A7">
        <w:rPr>
          <w:sz w:val="24"/>
          <w:szCs w:val="24"/>
        </w:rPr>
        <w:t>Come è noto le previsioni in campo economico costituiscono un’indispensabile guida nell’assumere decisioni sia di tipo strategico che operativo. Le metodologie si sono via via affinate, tuttavia, come dimostra gran parte de</w:t>
      </w:r>
      <w:r w:rsidR="00255609">
        <w:rPr>
          <w:sz w:val="24"/>
          <w:szCs w:val="24"/>
        </w:rPr>
        <w:t>l</w:t>
      </w:r>
      <w:r w:rsidR="00E312F5" w:rsidRPr="006530A7">
        <w:rPr>
          <w:sz w:val="24"/>
          <w:szCs w:val="24"/>
        </w:rPr>
        <w:t xml:space="preserve"> </w:t>
      </w:r>
      <w:r w:rsidR="00E312F5" w:rsidRPr="006530A7">
        <w:rPr>
          <w:i/>
          <w:sz w:val="24"/>
          <w:szCs w:val="24"/>
        </w:rPr>
        <w:t>forecast</w:t>
      </w:r>
      <w:r w:rsidR="00255609">
        <w:rPr>
          <w:i/>
          <w:sz w:val="24"/>
          <w:szCs w:val="24"/>
        </w:rPr>
        <w:t>ing</w:t>
      </w:r>
      <w:r w:rsidR="00255609">
        <w:rPr>
          <w:sz w:val="24"/>
          <w:szCs w:val="24"/>
        </w:rPr>
        <w:t xml:space="preserve"> </w:t>
      </w:r>
      <w:r w:rsidR="00255609" w:rsidRPr="00D74C84">
        <w:rPr>
          <w:sz w:val="24"/>
          <w:szCs w:val="24"/>
        </w:rPr>
        <w:t>effettuato</w:t>
      </w:r>
      <w:r w:rsidR="00E312F5" w:rsidRPr="006530A7">
        <w:rPr>
          <w:sz w:val="24"/>
          <w:szCs w:val="24"/>
        </w:rPr>
        <w:t xml:space="preserve"> </w:t>
      </w:r>
      <w:r w:rsidRPr="006530A7">
        <w:rPr>
          <w:sz w:val="24"/>
          <w:szCs w:val="24"/>
        </w:rPr>
        <w:t>anche con i modelli più sofisticati, l’individuare le esatte variazioni delle principali grandezze economiche è oggi particolarmente complicato tanto che le istituzioni interna</w:t>
      </w:r>
      <w:r w:rsidR="00255609">
        <w:rPr>
          <w:sz w:val="24"/>
          <w:szCs w:val="24"/>
        </w:rPr>
        <w:t>zionali più prestigiose (Fondo M</w:t>
      </w:r>
      <w:r w:rsidRPr="006530A7">
        <w:rPr>
          <w:sz w:val="24"/>
          <w:szCs w:val="24"/>
        </w:rPr>
        <w:t>onetario</w:t>
      </w:r>
      <w:r w:rsidR="00255609">
        <w:rPr>
          <w:sz w:val="24"/>
          <w:szCs w:val="24"/>
        </w:rPr>
        <w:t xml:space="preserve"> Internazionale</w:t>
      </w:r>
      <w:r w:rsidRPr="006530A7">
        <w:rPr>
          <w:sz w:val="24"/>
          <w:szCs w:val="24"/>
        </w:rPr>
        <w:t>, Nazioni Unite, O</w:t>
      </w:r>
      <w:r w:rsidR="006B0741">
        <w:rPr>
          <w:sz w:val="24"/>
          <w:szCs w:val="24"/>
        </w:rPr>
        <w:t>ECD</w:t>
      </w:r>
      <w:r w:rsidRPr="006530A7">
        <w:rPr>
          <w:sz w:val="24"/>
          <w:szCs w:val="24"/>
        </w:rPr>
        <w:t xml:space="preserve">, BCE, Eurostat) devono costantemente rivedere le stime, persino nel corso dell’anno per il quale </w:t>
      </w:r>
      <w:r w:rsidR="00255609">
        <w:rPr>
          <w:sz w:val="24"/>
          <w:szCs w:val="24"/>
        </w:rPr>
        <w:t>vengono effettuate</w:t>
      </w:r>
      <w:r w:rsidR="00E312F5" w:rsidRPr="006530A7">
        <w:rPr>
          <w:sz w:val="24"/>
          <w:szCs w:val="24"/>
        </w:rPr>
        <w:t>.</w:t>
      </w:r>
      <w:r w:rsidRPr="006530A7">
        <w:rPr>
          <w:sz w:val="24"/>
          <w:szCs w:val="24"/>
        </w:rPr>
        <w:t xml:space="preserve"> </w:t>
      </w:r>
    </w:p>
    <w:p w:rsidR="00E312F5" w:rsidRPr="006530A7" w:rsidRDefault="00B45FD9" w:rsidP="00F463C6">
      <w:pPr>
        <w:spacing w:before="120" w:after="120"/>
        <w:jc w:val="both"/>
        <w:rPr>
          <w:sz w:val="24"/>
          <w:szCs w:val="24"/>
        </w:rPr>
      </w:pPr>
      <w:r w:rsidRPr="006530A7">
        <w:rPr>
          <w:sz w:val="24"/>
          <w:szCs w:val="24"/>
        </w:rPr>
        <w:t xml:space="preserve">La ragione risiede nel fatto che ogni modello non </w:t>
      </w:r>
      <w:r w:rsidR="00255609">
        <w:rPr>
          <w:sz w:val="24"/>
          <w:szCs w:val="24"/>
        </w:rPr>
        <w:t>sopporta facilmente</w:t>
      </w:r>
      <w:r w:rsidRPr="006530A7">
        <w:rPr>
          <w:sz w:val="24"/>
          <w:szCs w:val="24"/>
        </w:rPr>
        <w:t xml:space="preserve"> shock esogeni, e purtroppo il contesto è ricco di variazioni imprevedibili. Inoltre, per quanto riguarda l’andamento del Pil, del tasso d’inflazione e, poi, lo studio di particolari mercati, hanno </w:t>
      </w:r>
      <w:r w:rsidR="00912D61" w:rsidRPr="0075639A">
        <w:rPr>
          <w:sz w:val="24"/>
          <w:szCs w:val="24"/>
        </w:rPr>
        <w:lastRenderedPageBreak/>
        <w:t>peculiare</w:t>
      </w:r>
      <w:r w:rsidRPr="006530A7">
        <w:rPr>
          <w:sz w:val="24"/>
          <w:szCs w:val="24"/>
        </w:rPr>
        <w:t xml:space="preserve"> rilevanza i comportamenti (anche emotivi e irrazionali) dei soggetti protagonisti di offerta e di domanda, non facilmente valutabili</w:t>
      </w:r>
      <w:r w:rsidR="00E312F5" w:rsidRPr="006530A7">
        <w:rPr>
          <w:sz w:val="24"/>
          <w:szCs w:val="24"/>
        </w:rPr>
        <w:t xml:space="preserve"> sulla base di schemi precostituiti</w:t>
      </w:r>
      <w:r w:rsidRPr="006530A7">
        <w:rPr>
          <w:sz w:val="24"/>
          <w:szCs w:val="24"/>
        </w:rPr>
        <w:t>.</w:t>
      </w:r>
    </w:p>
    <w:p w:rsidR="00B45FD9" w:rsidRPr="006530A7" w:rsidRDefault="00B45FD9" w:rsidP="00F463C6">
      <w:pPr>
        <w:spacing w:before="120" w:after="120"/>
        <w:jc w:val="both"/>
        <w:rPr>
          <w:sz w:val="24"/>
          <w:szCs w:val="24"/>
        </w:rPr>
      </w:pPr>
      <w:r w:rsidRPr="006530A7">
        <w:rPr>
          <w:sz w:val="24"/>
          <w:szCs w:val="24"/>
        </w:rPr>
        <w:t>In ogni caso, basandosi sul principio einaudiano “meglio una incerta statistica, che nessuna</w:t>
      </w:r>
      <w:r w:rsidRPr="006530A7">
        <w:rPr>
          <w:sz w:val="28"/>
          <w:szCs w:val="28"/>
        </w:rPr>
        <w:t xml:space="preserve"> </w:t>
      </w:r>
      <w:r w:rsidRPr="006530A7">
        <w:rPr>
          <w:sz w:val="24"/>
          <w:szCs w:val="24"/>
        </w:rPr>
        <w:t xml:space="preserve">statistica” le previsioni costituiscono un fattore indispensabile nell’orientare le scelte degli operatori, specie </w:t>
      </w:r>
      <w:r w:rsidR="00E312F5" w:rsidRPr="006530A7">
        <w:rPr>
          <w:sz w:val="24"/>
          <w:szCs w:val="24"/>
        </w:rPr>
        <w:t>quelli che</w:t>
      </w:r>
      <w:r w:rsidRPr="006530A7">
        <w:rPr>
          <w:sz w:val="24"/>
          <w:szCs w:val="24"/>
        </w:rPr>
        <w:t xml:space="preserve"> gestisc</w:t>
      </w:r>
      <w:r w:rsidR="00E312F5" w:rsidRPr="006530A7">
        <w:rPr>
          <w:sz w:val="24"/>
          <w:szCs w:val="24"/>
        </w:rPr>
        <w:t>ono</w:t>
      </w:r>
      <w:r w:rsidRPr="006530A7">
        <w:rPr>
          <w:sz w:val="24"/>
          <w:szCs w:val="24"/>
        </w:rPr>
        <w:t xml:space="preserve"> risorse finanziarie </w:t>
      </w:r>
      <w:r w:rsidR="00E312F5" w:rsidRPr="006530A7">
        <w:rPr>
          <w:sz w:val="24"/>
          <w:szCs w:val="24"/>
        </w:rPr>
        <w:t xml:space="preserve">o investimenti, </w:t>
      </w:r>
      <w:r w:rsidR="00255609">
        <w:rPr>
          <w:sz w:val="24"/>
          <w:szCs w:val="24"/>
        </w:rPr>
        <w:t>o</w:t>
      </w:r>
      <w:r w:rsidRPr="006530A7">
        <w:rPr>
          <w:sz w:val="24"/>
          <w:szCs w:val="24"/>
        </w:rPr>
        <w:t xml:space="preserve"> dev</w:t>
      </w:r>
      <w:r w:rsidR="00E312F5" w:rsidRPr="006530A7">
        <w:rPr>
          <w:sz w:val="24"/>
          <w:szCs w:val="24"/>
        </w:rPr>
        <w:t>ono</w:t>
      </w:r>
      <w:r w:rsidRPr="006530A7">
        <w:rPr>
          <w:sz w:val="24"/>
          <w:szCs w:val="24"/>
        </w:rPr>
        <w:t xml:space="preserve"> minimizzare i rischi nella gestione del credito. </w:t>
      </w:r>
    </w:p>
    <w:p w:rsidR="00217A7A" w:rsidRPr="006530A7" w:rsidRDefault="00E312F5" w:rsidP="00F463C6">
      <w:pPr>
        <w:spacing w:before="120" w:after="120"/>
        <w:jc w:val="both"/>
        <w:rPr>
          <w:sz w:val="24"/>
          <w:szCs w:val="24"/>
        </w:rPr>
      </w:pPr>
      <w:r w:rsidRPr="00E23CC0">
        <w:rPr>
          <w:sz w:val="24"/>
          <w:szCs w:val="24"/>
        </w:rPr>
        <w:t>Una lunga accumulazione di studi e ricerche ha consentito di predisporre un quadro di lungo periodo (a partire dal 1958) sulle quantità scambiate e sui prezzi medi di riferimento</w:t>
      </w:r>
      <w:r w:rsidR="00255609">
        <w:rPr>
          <w:sz w:val="24"/>
          <w:szCs w:val="24"/>
        </w:rPr>
        <w:t xml:space="preserve"> per il comparto residenziale, che costituisce la componente quantitativa preponderante per il real estate italiano.</w:t>
      </w:r>
      <w:r w:rsidR="00D74C84">
        <w:rPr>
          <w:sz w:val="24"/>
          <w:szCs w:val="24"/>
        </w:rPr>
        <w:t xml:space="preserve"> </w:t>
      </w:r>
      <w:r w:rsidRPr="00E23CC0">
        <w:rPr>
          <w:sz w:val="24"/>
          <w:szCs w:val="24"/>
        </w:rPr>
        <w:t>Proprio il rilevante intervallo temporale ha consentito di utilizzare la metodologia</w:t>
      </w:r>
      <w:r w:rsidRPr="006530A7">
        <w:t xml:space="preserve"> </w:t>
      </w:r>
      <w:r w:rsidRPr="006530A7">
        <w:rPr>
          <w:b/>
          <w:sz w:val="24"/>
          <w:szCs w:val="24"/>
        </w:rPr>
        <w:t>Holt Winter</w:t>
      </w:r>
      <w:r w:rsidR="00C934C7">
        <w:rPr>
          <w:b/>
          <w:sz w:val="24"/>
          <w:szCs w:val="24"/>
        </w:rPr>
        <w:t xml:space="preserve"> </w:t>
      </w:r>
      <w:r w:rsidRPr="006530A7">
        <w:rPr>
          <w:b/>
          <w:sz w:val="24"/>
          <w:szCs w:val="24"/>
        </w:rPr>
        <w:t xml:space="preserve">- Triple Exponential Smoothing </w:t>
      </w:r>
      <w:r w:rsidRPr="006530A7">
        <w:rPr>
          <w:sz w:val="24"/>
          <w:szCs w:val="24"/>
        </w:rPr>
        <w:t xml:space="preserve">per individuare il più probabile andamento nel prossimo triennio e le tendenze di più lungo periodo. </w:t>
      </w:r>
      <w:r w:rsidR="004205E4" w:rsidRPr="006530A7">
        <w:rPr>
          <w:sz w:val="24"/>
          <w:szCs w:val="24"/>
        </w:rPr>
        <w:t>L’analisi dell’errore effettuato col metodo MAPE (verificato su 10 a</w:t>
      </w:r>
      <w:r w:rsidR="00255609">
        <w:rPr>
          <w:sz w:val="24"/>
          <w:szCs w:val="24"/>
        </w:rPr>
        <w:t xml:space="preserve">nni lo standard </w:t>
      </w:r>
      <w:r w:rsidR="00255609" w:rsidRPr="00D74C84">
        <w:rPr>
          <w:sz w:val="24"/>
          <w:szCs w:val="24"/>
        </w:rPr>
        <w:t>di riferimento valuta le proiezioni ottime</w:t>
      </w:r>
      <w:r w:rsidR="004205E4" w:rsidRPr="006530A7">
        <w:rPr>
          <w:sz w:val="24"/>
          <w:szCs w:val="24"/>
        </w:rPr>
        <w:t xml:space="preserve"> con errore del 20% decennale e buono con il 30%) per le compravendite ha registrato un livello superiore all’ottimo pari al 15% sul decennio, per i prezzi del 22% sui 10 anni e del 19% a 13 anni.  </w:t>
      </w:r>
    </w:p>
    <w:p w:rsidR="00C1069C" w:rsidRPr="006530A7" w:rsidRDefault="00AF4507" w:rsidP="00F463C6">
      <w:pPr>
        <w:spacing w:before="120" w:after="120"/>
        <w:jc w:val="both"/>
        <w:rPr>
          <w:sz w:val="24"/>
          <w:szCs w:val="24"/>
        </w:rPr>
      </w:pPr>
      <w:r w:rsidRPr="006530A7">
        <w:rPr>
          <w:sz w:val="24"/>
          <w:szCs w:val="24"/>
        </w:rPr>
        <w:t>L’analisi dei due diagrammi ha portato a individuare una relazione fra andamento dei prezzi reali e volume delle transazioni molto variabile sulla base delle più generali condizioni del ciclo economico. Ad esempio, nel contes</w:t>
      </w:r>
      <w:r w:rsidR="00697BC7" w:rsidRPr="006530A7">
        <w:rPr>
          <w:sz w:val="24"/>
          <w:szCs w:val="24"/>
        </w:rPr>
        <w:t>t</w:t>
      </w:r>
      <w:r w:rsidRPr="006530A7">
        <w:rPr>
          <w:sz w:val="24"/>
          <w:szCs w:val="24"/>
        </w:rPr>
        <w:t>o della prima fase di accelerato sviluppo (fine anni ’50) i prezzi reali si sono mantenuti a lungo stabili mentre il mercato, soprattutto costituito da nuove costruzioni, ha conosciuto una fase di progressiva espansione. Fra il 1958 e il 1967 i valori sono cresciuti del 3,5% e le compravendite del 40%.</w:t>
      </w:r>
      <w:r w:rsidR="00C1069C" w:rsidRPr="006530A7">
        <w:rPr>
          <w:sz w:val="24"/>
          <w:szCs w:val="24"/>
        </w:rPr>
        <w:t xml:space="preserve"> A partire dagli ’70 i prezzi hanno registrato un andamento tendenziale crescente, seppur con variazioni cicliche, con punti apicali nei primi anni ’80, nel ’92 –’93 e poi nel 2007, spuntando, comunque, valori sempre maggiori dei precedenti.</w:t>
      </w:r>
    </w:p>
    <w:p w:rsidR="006B412F" w:rsidRPr="006530A7" w:rsidRDefault="00C1069C" w:rsidP="00F463C6">
      <w:pPr>
        <w:spacing w:before="120" w:after="120"/>
        <w:jc w:val="both"/>
        <w:rPr>
          <w:sz w:val="24"/>
          <w:szCs w:val="24"/>
        </w:rPr>
      </w:pPr>
      <w:r w:rsidRPr="006530A7">
        <w:rPr>
          <w:sz w:val="24"/>
          <w:szCs w:val="24"/>
        </w:rPr>
        <w:t>Fatto 100 il prezzo medio del 1958, si passa a un numero indice di 254 del 1982, di 289 del 1992 e di 304 del 2006.</w:t>
      </w:r>
      <w:r w:rsidR="006B412F" w:rsidRPr="006530A7">
        <w:rPr>
          <w:sz w:val="24"/>
          <w:szCs w:val="24"/>
        </w:rPr>
        <w:t xml:space="preserve"> </w:t>
      </w:r>
    </w:p>
    <w:p w:rsidR="00DD692A" w:rsidRPr="006530A7" w:rsidRDefault="00C1069C" w:rsidP="00F463C6">
      <w:pPr>
        <w:spacing w:before="120" w:after="120"/>
        <w:jc w:val="both"/>
        <w:rPr>
          <w:sz w:val="24"/>
          <w:szCs w:val="24"/>
        </w:rPr>
      </w:pPr>
      <w:r w:rsidRPr="006530A7">
        <w:rPr>
          <w:sz w:val="24"/>
          <w:szCs w:val="24"/>
        </w:rPr>
        <w:t>L’immobiliare in Italia ha quindi sempre corrisposto</w:t>
      </w:r>
      <w:r w:rsidR="00DD692A" w:rsidRPr="006530A7">
        <w:rPr>
          <w:sz w:val="24"/>
          <w:szCs w:val="24"/>
        </w:rPr>
        <w:t xml:space="preserve"> positivamente alla redditività attesa dell’investimento e pur godendo di una forte motivazione sociale e valoriale, ha potuto utilizzare anche la leva dell</w:t>
      </w:r>
      <w:r w:rsidR="006B412F" w:rsidRPr="006530A7">
        <w:rPr>
          <w:sz w:val="24"/>
          <w:szCs w:val="24"/>
        </w:rPr>
        <w:t>a</w:t>
      </w:r>
      <w:r w:rsidR="00DD692A" w:rsidRPr="006530A7">
        <w:rPr>
          <w:sz w:val="24"/>
          <w:szCs w:val="24"/>
        </w:rPr>
        <w:t xml:space="preserve"> convenienz</w:t>
      </w:r>
      <w:r w:rsidR="006B412F" w:rsidRPr="006530A7">
        <w:rPr>
          <w:sz w:val="24"/>
          <w:szCs w:val="24"/>
        </w:rPr>
        <w:t>a</w:t>
      </w:r>
      <w:r w:rsidR="00DD692A" w:rsidRPr="006530A7">
        <w:rPr>
          <w:sz w:val="24"/>
          <w:szCs w:val="24"/>
        </w:rPr>
        <w:t>.</w:t>
      </w:r>
      <w:r w:rsidRPr="006530A7">
        <w:rPr>
          <w:sz w:val="24"/>
          <w:szCs w:val="24"/>
        </w:rPr>
        <w:t xml:space="preserve"> </w:t>
      </w:r>
    </w:p>
    <w:p w:rsidR="001F3C55" w:rsidRPr="006530A7" w:rsidRDefault="00DD692A" w:rsidP="00F463C6">
      <w:pPr>
        <w:spacing w:before="120" w:after="120"/>
        <w:jc w:val="both"/>
        <w:rPr>
          <w:sz w:val="24"/>
          <w:szCs w:val="24"/>
        </w:rPr>
      </w:pPr>
      <w:r w:rsidRPr="006530A7">
        <w:rPr>
          <w:sz w:val="24"/>
          <w:szCs w:val="24"/>
        </w:rPr>
        <w:t>Per quanto riguarda le transazioni del mercato residenziale</w:t>
      </w:r>
      <w:r w:rsidR="00255609">
        <w:rPr>
          <w:sz w:val="24"/>
          <w:szCs w:val="24"/>
        </w:rPr>
        <w:t>,</w:t>
      </w:r>
      <w:r w:rsidRPr="006530A7">
        <w:rPr>
          <w:sz w:val="24"/>
          <w:szCs w:val="24"/>
        </w:rPr>
        <w:t xml:space="preserve"> un primo punto di cadut</w:t>
      </w:r>
      <w:r w:rsidR="00697BC7" w:rsidRPr="006530A7">
        <w:rPr>
          <w:sz w:val="24"/>
          <w:szCs w:val="24"/>
        </w:rPr>
        <w:t>a</w:t>
      </w:r>
      <w:r w:rsidRPr="006530A7">
        <w:rPr>
          <w:sz w:val="24"/>
          <w:szCs w:val="24"/>
        </w:rPr>
        <w:t>, dopo la rapida crescita degli anni ’60</w:t>
      </w:r>
      <w:r w:rsidR="00255609">
        <w:rPr>
          <w:sz w:val="24"/>
          <w:szCs w:val="24"/>
        </w:rPr>
        <w:t>,</w:t>
      </w:r>
      <w:r w:rsidRPr="006530A7">
        <w:rPr>
          <w:sz w:val="24"/>
          <w:szCs w:val="24"/>
        </w:rPr>
        <w:t xml:space="preserve"> si registra a metà anni </w:t>
      </w:r>
      <w:r w:rsidR="001F3C55" w:rsidRPr="006530A7">
        <w:rPr>
          <w:sz w:val="24"/>
          <w:szCs w:val="24"/>
        </w:rPr>
        <w:t>’</w:t>
      </w:r>
      <w:r w:rsidRPr="006530A7">
        <w:rPr>
          <w:sz w:val="24"/>
          <w:szCs w:val="24"/>
        </w:rPr>
        <w:t>70</w:t>
      </w:r>
      <w:r w:rsidR="001F3C55" w:rsidRPr="006530A7">
        <w:rPr>
          <w:sz w:val="24"/>
          <w:szCs w:val="24"/>
        </w:rPr>
        <w:t xml:space="preserve"> e poi a metà anni ’80; </w:t>
      </w:r>
      <w:r w:rsidR="001F3C55" w:rsidRPr="006530A7">
        <w:rPr>
          <w:sz w:val="24"/>
          <w:szCs w:val="24"/>
        </w:rPr>
        <w:lastRenderedPageBreak/>
        <w:t>dopo la crisi del ’92 –’93</w:t>
      </w:r>
      <w:r w:rsidR="006B412F" w:rsidRPr="006530A7">
        <w:rPr>
          <w:sz w:val="24"/>
          <w:szCs w:val="24"/>
        </w:rPr>
        <w:t>, i</w:t>
      </w:r>
      <w:r w:rsidR="00697BC7" w:rsidRPr="006530A7">
        <w:rPr>
          <w:sz w:val="24"/>
          <w:szCs w:val="24"/>
        </w:rPr>
        <w:t>l</w:t>
      </w:r>
      <w:r w:rsidR="006B412F" w:rsidRPr="006530A7">
        <w:rPr>
          <w:sz w:val="24"/>
          <w:szCs w:val="24"/>
        </w:rPr>
        <w:t xml:space="preserve"> periodo</w:t>
      </w:r>
      <w:r w:rsidR="001F3C55" w:rsidRPr="006530A7">
        <w:rPr>
          <w:sz w:val="24"/>
          <w:szCs w:val="24"/>
        </w:rPr>
        <w:t xml:space="preserve"> fra 1996 e 2006 rappresenta il più grande boom mai registrato nel real estate italiano.</w:t>
      </w:r>
    </w:p>
    <w:p w:rsidR="005866CC" w:rsidRPr="006530A7" w:rsidRDefault="001F3C55" w:rsidP="00F463C6">
      <w:pPr>
        <w:spacing w:before="120" w:after="120"/>
        <w:jc w:val="both"/>
        <w:rPr>
          <w:sz w:val="24"/>
          <w:szCs w:val="24"/>
        </w:rPr>
      </w:pPr>
      <w:r w:rsidRPr="006530A7">
        <w:rPr>
          <w:sz w:val="24"/>
          <w:szCs w:val="24"/>
        </w:rPr>
        <w:t xml:space="preserve">Assistiamo ora, </w:t>
      </w:r>
      <w:r w:rsidRPr="006530A7">
        <w:rPr>
          <w:b/>
          <w:sz w:val="24"/>
          <w:szCs w:val="24"/>
        </w:rPr>
        <w:t>a partire dal 2014 a un’inversione di tendenza</w:t>
      </w:r>
      <w:r w:rsidRPr="006530A7">
        <w:rPr>
          <w:sz w:val="24"/>
          <w:szCs w:val="24"/>
        </w:rPr>
        <w:t>: dalle 869mila abitazioni transate nel 2006 si è passati alle 407mila del 2013, ma nel 2015 ci si attesta sulle 440mila abitazioni compravendute.</w:t>
      </w:r>
      <w:r w:rsidR="00AF4507" w:rsidRPr="006530A7">
        <w:rPr>
          <w:sz w:val="24"/>
          <w:szCs w:val="24"/>
        </w:rPr>
        <w:t xml:space="preserve"> </w:t>
      </w:r>
      <w:r w:rsidR="005866CC" w:rsidRPr="006530A7">
        <w:rPr>
          <w:sz w:val="24"/>
          <w:szCs w:val="24"/>
        </w:rPr>
        <w:t>Negli anni successivi il mercato tenderà ad espandersi ulteriormente in termini di transazioni, fino raggiungere un nuovo massimo nel 2020. Tali proiezioni confermano anche la pur teorica durata dei cicli economici fra 7 e 10 anni, considerando “sviluppo –</w:t>
      </w:r>
      <w:r w:rsidR="00912D61">
        <w:rPr>
          <w:sz w:val="24"/>
          <w:szCs w:val="24"/>
        </w:rPr>
        <w:t xml:space="preserve"> </w:t>
      </w:r>
      <w:r w:rsidR="005866CC" w:rsidRPr="006530A7">
        <w:rPr>
          <w:sz w:val="24"/>
          <w:szCs w:val="24"/>
        </w:rPr>
        <w:t xml:space="preserve">consolidamento – deterioramento”. </w:t>
      </w:r>
    </w:p>
    <w:p w:rsidR="0027115A" w:rsidRPr="006530A7" w:rsidRDefault="005866CC" w:rsidP="00F463C6">
      <w:pPr>
        <w:spacing w:before="120" w:after="120"/>
        <w:jc w:val="both"/>
        <w:rPr>
          <w:sz w:val="24"/>
          <w:szCs w:val="24"/>
        </w:rPr>
      </w:pPr>
      <w:r w:rsidRPr="006530A7">
        <w:rPr>
          <w:sz w:val="24"/>
          <w:szCs w:val="24"/>
        </w:rPr>
        <w:t>L’andamento tendenziale, infatti, dopo il picco del 2020 vedrebbe una fase di arretramento fino al 2</w:t>
      </w:r>
      <w:r w:rsidR="00697BC7" w:rsidRPr="006530A7">
        <w:rPr>
          <w:sz w:val="24"/>
          <w:szCs w:val="24"/>
        </w:rPr>
        <w:t xml:space="preserve">024, per poi tornare a </w:t>
      </w:r>
      <w:r w:rsidR="00697BC7" w:rsidRPr="008C387B">
        <w:rPr>
          <w:sz w:val="24"/>
          <w:szCs w:val="24"/>
        </w:rPr>
        <w:t xml:space="preserve">crescere </w:t>
      </w:r>
      <w:r w:rsidR="0027115A" w:rsidRPr="008C387B">
        <w:rPr>
          <w:sz w:val="24"/>
          <w:szCs w:val="24"/>
        </w:rPr>
        <w:t>(</w:t>
      </w:r>
      <w:r w:rsidR="00697BC7" w:rsidRPr="008C387B">
        <w:rPr>
          <w:sz w:val="24"/>
          <w:szCs w:val="24"/>
        </w:rPr>
        <w:t>f</w:t>
      </w:r>
      <w:r w:rsidR="0027115A" w:rsidRPr="008C387B">
        <w:rPr>
          <w:sz w:val="24"/>
          <w:szCs w:val="24"/>
        </w:rPr>
        <w:t>ig.</w:t>
      </w:r>
      <w:r w:rsidR="00E56801" w:rsidRPr="008C387B">
        <w:rPr>
          <w:sz w:val="24"/>
          <w:szCs w:val="24"/>
        </w:rPr>
        <w:t xml:space="preserve"> </w:t>
      </w:r>
      <w:r w:rsidR="005A66DF" w:rsidRPr="008C387B">
        <w:rPr>
          <w:sz w:val="24"/>
          <w:szCs w:val="24"/>
        </w:rPr>
        <w:t>9</w:t>
      </w:r>
      <w:r w:rsidR="0027115A" w:rsidRPr="008C387B">
        <w:rPr>
          <w:sz w:val="24"/>
          <w:szCs w:val="24"/>
        </w:rPr>
        <w:t>)</w:t>
      </w:r>
      <w:r w:rsidR="00697BC7" w:rsidRPr="008C387B">
        <w:rPr>
          <w:sz w:val="24"/>
          <w:szCs w:val="24"/>
        </w:rPr>
        <w:t>.</w:t>
      </w:r>
    </w:p>
    <w:p w:rsidR="00DF2579" w:rsidRPr="00CB6DFC" w:rsidRDefault="0027115A" w:rsidP="00F463C6">
      <w:pPr>
        <w:spacing w:before="120" w:after="120"/>
        <w:jc w:val="both"/>
        <w:rPr>
          <w:sz w:val="24"/>
          <w:szCs w:val="24"/>
        </w:rPr>
      </w:pPr>
      <w:r w:rsidRPr="006530A7">
        <w:rPr>
          <w:sz w:val="24"/>
          <w:szCs w:val="24"/>
        </w:rPr>
        <w:t>Si ribadisce che l’esercizio effettuato ha coerenza scientifica, ma deve essere considerato uno strumento da interpretare e no</w:t>
      </w:r>
      <w:r w:rsidR="00CB18B1">
        <w:rPr>
          <w:sz w:val="24"/>
          <w:szCs w:val="24"/>
        </w:rPr>
        <w:t>n da applicare meccanicamente.</w:t>
      </w:r>
    </w:p>
    <w:p w:rsidR="00544901" w:rsidRPr="00AB7706" w:rsidRDefault="0027115A" w:rsidP="00097AFE">
      <w:pPr>
        <w:pStyle w:val="Titolotabella"/>
      </w:pPr>
      <w:r w:rsidRPr="00AB7706">
        <w:t>Fig.</w:t>
      </w:r>
      <w:r w:rsidR="005A66DF">
        <w:t>9</w:t>
      </w:r>
      <w:r w:rsidRPr="00AB7706">
        <w:t xml:space="preserve"> – Andamento dei cicli immobiliari al 2018 e tendenze di lungo periodo –</w:t>
      </w:r>
      <w:r w:rsidR="00912D61">
        <w:t xml:space="preserve"> </w:t>
      </w:r>
      <w:r w:rsidRPr="00AB7706">
        <w:t>Compravendite residenziali</w:t>
      </w:r>
    </w:p>
    <w:p w:rsidR="001F2D01" w:rsidRPr="006530A7" w:rsidRDefault="001F2D01" w:rsidP="00D25DCD">
      <w:pPr>
        <w:jc w:val="center"/>
        <w:rPr>
          <w:b/>
        </w:rPr>
      </w:pPr>
      <w:r w:rsidRPr="006530A7">
        <w:rPr>
          <w:noProof/>
          <w:lang w:eastAsia="it-IT"/>
        </w:rPr>
        <w:drawing>
          <wp:inline distT="0" distB="0" distL="0" distR="0" wp14:anchorId="1504AAA4" wp14:editId="6F13229A">
            <wp:extent cx="5403272" cy="3800104"/>
            <wp:effectExtent l="0" t="0" r="6985" b="0"/>
            <wp:docPr id="23" name="Gra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044F" w:rsidRPr="006530A7" w:rsidRDefault="0013044F" w:rsidP="00C61C61">
      <w:pPr>
        <w:pStyle w:val="StileFonte"/>
      </w:pPr>
      <w:r w:rsidRPr="006530A7">
        <w:rPr>
          <w:color w:val="000000"/>
        </w:rPr>
        <w:t xml:space="preserve">Fonte: </w:t>
      </w:r>
      <w:r w:rsidR="008D04F1">
        <w:t xml:space="preserve">elaborazione </w:t>
      </w:r>
      <w:r w:rsidR="00A32FA8">
        <w:t xml:space="preserve">© </w:t>
      </w:r>
      <w:r w:rsidRPr="006530A7">
        <w:t>RUR, 2016</w:t>
      </w:r>
    </w:p>
    <w:p w:rsidR="00253189" w:rsidRPr="00CB18B1" w:rsidRDefault="0027115A" w:rsidP="00F463C6">
      <w:pPr>
        <w:spacing w:before="120" w:after="120"/>
        <w:jc w:val="both"/>
        <w:rPr>
          <w:sz w:val="24"/>
          <w:szCs w:val="24"/>
        </w:rPr>
      </w:pPr>
      <w:r w:rsidRPr="0088646B">
        <w:rPr>
          <w:sz w:val="24"/>
          <w:szCs w:val="24"/>
        </w:rPr>
        <w:lastRenderedPageBreak/>
        <w:t>Ciò che si può affermare con nettezza è che c’è coerenza fra l’andamento delle transazioni residenziali e quello dei valori medi di riferimento. L’inversione di tendenza (dalla sostanziale stabilità alla crescita) si stima possa verificarsi nel 2018, ovvero quando si sarà consolidato e accresciuto il volume delle compravendite, fenomeno favorito nel corso del biennio 2016 – 2017 dal mantenimento di prezzi</w:t>
      </w:r>
      <w:r w:rsidR="00D24F9B" w:rsidRPr="0088646B">
        <w:rPr>
          <w:sz w:val="24"/>
          <w:szCs w:val="24"/>
        </w:rPr>
        <w:t xml:space="preserve"> stabili. In altri termini al surriscaldamento della domanda</w:t>
      </w:r>
      <w:r w:rsidRPr="0088646B">
        <w:rPr>
          <w:sz w:val="24"/>
          <w:szCs w:val="24"/>
        </w:rPr>
        <w:t xml:space="preserve"> </w:t>
      </w:r>
      <w:r w:rsidR="00D24F9B" w:rsidRPr="0088646B">
        <w:rPr>
          <w:sz w:val="24"/>
          <w:szCs w:val="24"/>
        </w:rPr>
        <w:t xml:space="preserve">seguirà anche un “riscaldamento” dei valori, destinati poi a ritornare a seguire un trend congruente con quello di lungo </w:t>
      </w:r>
      <w:r w:rsidR="00D24F9B" w:rsidRPr="008C387B">
        <w:rPr>
          <w:sz w:val="24"/>
          <w:szCs w:val="24"/>
        </w:rPr>
        <w:t>periodo. Si stima, infatti, che</w:t>
      </w:r>
      <w:r w:rsidR="00A32FA8">
        <w:rPr>
          <w:sz w:val="24"/>
          <w:szCs w:val="24"/>
        </w:rPr>
        <w:t xml:space="preserve"> i prezzi</w:t>
      </w:r>
      <w:r w:rsidR="00D24F9B" w:rsidRPr="008C387B">
        <w:rPr>
          <w:sz w:val="24"/>
          <w:szCs w:val="24"/>
        </w:rPr>
        <w:t xml:space="preserve"> possano segnare u</w:t>
      </w:r>
      <w:r w:rsidR="00E82E81" w:rsidRPr="008C387B">
        <w:rPr>
          <w:sz w:val="24"/>
          <w:szCs w:val="24"/>
        </w:rPr>
        <w:t>n nuovo massimo attorno al 2024</w:t>
      </w:r>
      <w:r w:rsidR="00A32FA8">
        <w:rPr>
          <w:sz w:val="24"/>
          <w:szCs w:val="24"/>
        </w:rPr>
        <w:t xml:space="preserve"> </w:t>
      </w:r>
      <w:r w:rsidR="00A32FA8" w:rsidRPr="00D74C84">
        <w:rPr>
          <w:sz w:val="24"/>
          <w:szCs w:val="24"/>
        </w:rPr>
        <w:t>superiore a quanto raggiunto in precedenza</w:t>
      </w:r>
      <w:r w:rsidR="00E82E81" w:rsidRPr="00D74C84">
        <w:rPr>
          <w:sz w:val="24"/>
          <w:szCs w:val="24"/>
        </w:rPr>
        <w:t xml:space="preserve"> </w:t>
      </w:r>
      <w:r w:rsidR="00D24F9B" w:rsidRPr="00D74C84">
        <w:rPr>
          <w:sz w:val="24"/>
          <w:szCs w:val="24"/>
        </w:rPr>
        <w:t>(</w:t>
      </w:r>
      <w:r w:rsidR="00E82E81" w:rsidRPr="00D74C84">
        <w:rPr>
          <w:sz w:val="24"/>
          <w:szCs w:val="24"/>
        </w:rPr>
        <w:t>f</w:t>
      </w:r>
      <w:r w:rsidR="00D24F9B" w:rsidRPr="00D74C84">
        <w:rPr>
          <w:sz w:val="24"/>
          <w:szCs w:val="24"/>
        </w:rPr>
        <w:t>ig.</w:t>
      </w:r>
      <w:r w:rsidR="00E23CC0" w:rsidRPr="00D74C84">
        <w:rPr>
          <w:sz w:val="24"/>
          <w:szCs w:val="24"/>
        </w:rPr>
        <w:t xml:space="preserve"> </w:t>
      </w:r>
      <w:r w:rsidR="00D24F9B" w:rsidRPr="00D74C84">
        <w:rPr>
          <w:sz w:val="24"/>
          <w:szCs w:val="24"/>
        </w:rPr>
        <w:t>1</w:t>
      </w:r>
      <w:r w:rsidR="005A66DF" w:rsidRPr="008C387B">
        <w:rPr>
          <w:sz w:val="24"/>
          <w:szCs w:val="24"/>
        </w:rPr>
        <w:t>0</w:t>
      </w:r>
      <w:r w:rsidR="00D24F9B" w:rsidRPr="008C387B">
        <w:rPr>
          <w:sz w:val="24"/>
          <w:szCs w:val="24"/>
        </w:rPr>
        <w:t>)</w:t>
      </w:r>
      <w:r w:rsidR="00E82E81" w:rsidRPr="008C387B">
        <w:rPr>
          <w:sz w:val="24"/>
          <w:szCs w:val="24"/>
        </w:rPr>
        <w:t>.</w:t>
      </w:r>
      <w:r w:rsidR="00D24F9B" w:rsidRPr="0088646B">
        <w:rPr>
          <w:sz w:val="24"/>
          <w:szCs w:val="24"/>
        </w:rPr>
        <w:t xml:space="preserve"> </w:t>
      </w:r>
    </w:p>
    <w:p w:rsidR="00253189" w:rsidRPr="003A56E7" w:rsidRDefault="00253189" w:rsidP="00097AFE">
      <w:pPr>
        <w:pStyle w:val="Titolotabella"/>
      </w:pPr>
      <w:r w:rsidRPr="003A56E7">
        <w:rPr>
          <w:noProof/>
          <w:lang w:eastAsia="it-IT"/>
        </w:rPr>
        <w:drawing>
          <wp:anchor distT="0" distB="0" distL="114300" distR="114300" simplePos="0" relativeHeight="251698176" behindDoc="0" locked="0" layoutInCell="1" allowOverlap="1" wp14:anchorId="5C83FBC5" wp14:editId="4E5E9227">
            <wp:simplePos x="0" y="0"/>
            <wp:positionH relativeFrom="column">
              <wp:posOffset>-294005</wp:posOffset>
            </wp:positionH>
            <wp:positionV relativeFrom="paragraph">
              <wp:posOffset>295275</wp:posOffset>
            </wp:positionV>
            <wp:extent cx="5772150" cy="3924300"/>
            <wp:effectExtent l="0" t="0" r="0" b="0"/>
            <wp:wrapNone/>
            <wp:docPr id="22" name="Gra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3A56E7">
        <w:t>Fig.1</w:t>
      </w:r>
      <w:r w:rsidR="005A66DF">
        <w:t>0</w:t>
      </w:r>
      <w:r w:rsidRPr="003A56E7">
        <w:t xml:space="preserve"> – Andamento dei cicli immobiliari al 2018 e tendenze di lungo periodo - Valori</w:t>
      </w:r>
    </w:p>
    <w:p w:rsidR="00730B40" w:rsidRPr="006530A7" w:rsidRDefault="0059731E" w:rsidP="00730B40">
      <w:pPr>
        <w:rPr>
          <w:b/>
        </w:rPr>
      </w:pPr>
      <w:r w:rsidRPr="006530A7">
        <w:rPr>
          <w:rFonts w:eastAsia="Times New Roman" w:cs="Calibri"/>
          <w:noProof/>
          <w:color w:val="000000"/>
          <w:lang w:eastAsia="it-IT"/>
        </w:rPr>
        <mc:AlternateContent>
          <mc:Choice Requires="wps">
            <w:drawing>
              <wp:anchor distT="0" distB="0" distL="114300" distR="114300" simplePos="0" relativeHeight="251657216" behindDoc="0" locked="0" layoutInCell="1" allowOverlap="1" wp14:anchorId="267FB97D" wp14:editId="0CFBB499">
                <wp:simplePos x="0" y="0"/>
                <wp:positionH relativeFrom="column">
                  <wp:posOffset>692150</wp:posOffset>
                </wp:positionH>
                <wp:positionV relativeFrom="paragraph">
                  <wp:posOffset>246380</wp:posOffset>
                </wp:positionV>
                <wp:extent cx="266700" cy="276225"/>
                <wp:effectExtent l="0" t="0" r="7620" b="1460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AE56D7" w:rsidRDefault="00AE56D7" w:rsidP="004416A0">
                            <w:pPr>
                              <w:pStyle w:val="NormaleWeb"/>
                              <w:spacing w:before="0" w:beforeAutospacing="0" w:after="0" w:afterAutospacing="0"/>
                            </w:pPr>
                            <w:r>
                              <w:rPr>
                                <w:rFonts w:ascii="Tahoma" w:eastAsia="Tahoma" w:hAnsi="Tahoma" w:cs="Tahoma"/>
                                <w:color w:val="000000"/>
                                <w:sz w:val="20"/>
                                <w:szCs w:val="20"/>
                              </w:rPr>
                              <w:t>I°</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267FB97D" id="_x0000_t202" coordsize="21600,21600" o:spt="202" path="m,l,21600r21600,l21600,xe">
                <v:stroke joinstyle="miter"/>
                <v:path gradientshapeok="t" o:connecttype="rect"/>
              </v:shapetype>
              <v:shape id="Casella di testo 21" o:spid="_x0000_s1026" type="#_x0000_t202" style="position:absolute;margin-left:54.5pt;margin-top:19.4pt;width:21pt;height:2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" filled="f" stroked="f">
                <v:textbox style="mso-fit-shape-to-text:t" inset="1.44pt,1.8pt,0,0">
                  <w:txbxContent>
                    <w:p w:rsidR="00AE56D7" w:rsidRDefault="00AE56D7" w:rsidP="004416A0">
                      <w:pPr>
                        <w:pStyle w:val="NormaleWeb"/>
                        <w:spacing w:before="0" w:beforeAutospacing="0" w:after="0" w:afterAutospacing="0"/>
                      </w:pPr>
                      <w:r>
                        <w:rPr>
                          <w:rFonts w:ascii="Tahoma" w:eastAsia="Tahoma" w:hAnsi="Tahoma" w:cs="Tahoma"/>
                          <w:color w:val="000000"/>
                          <w:sz w:val="20"/>
                          <w:szCs w:val="20"/>
                        </w:rPr>
                        <w:t>I°</w:t>
                      </w:r>
                    </w:p>
                  </w:txbxContent>
                </v:textbox>
              </v:shape>
            </w:pict>
          </mc:Fallback>
        </mc:AlternateContent>
      </w:r>
      <w:r w:rsidRPr="006530A7">
        <w:rPr>
          <w:rFonts w:eastAsia="Times New Roman" w:cs="Calibri"/>
          <w:noProof/>
          <w:color w:val="000000"/>
          <w:lang w:eastAsia="it-IT"/>
        </w:rPr>
        <mc:AlternateContent>
          <mc:Choice Requires="wps">
            <w:drawing>
              <wp:anchor distT="0" distB="0" distL="114300" distR="114300" simplePos="0" relativeHeight="251685888" behindDoc="0" locked="0" layoutInCell="1" allowOverlap="1" wp14:anchorId="2F4C104C" wp14:editId="141A0EBA">
                <wp:simplePos x="0" y="0"/>
                <wp:positionH relativeFrom="column">
                  <wp:posOffset>1584960</wp:posOffset>
                </wp:positionH>
                <wp:positionV relativeFrom="paragraph">
                  <wp:posOffset>246380</wp:posOffset>
                </wp:positionV>
                <wp:extent cx="323850" cy="190500"/>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05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AE56D7" w:rsidRDefault="00AE56D7" w:rsidP="004416A0">
                            <w:pPr>
                              <w:pStyle w:val="NormaleWeb"/>
                              <w:spacing w:before="0" w:beforeAutospacing="0" w:after="0" w:afterAutospacing="0"/>
                            </w:pPr>
                            <w:r>
                              <w:rPr>
                                <w:rFonts w:ascii="Tahoma" w:eastAsia="Tahoma" w:hAnsi="Tahoma" w:cs="Tahoma"/>
                                <w:color w:val="000000"/>
                                <w:sz w:val="20"/>
                                <w:szCs w:val="20"/>
                              </w:rPr>
                              <w:t>II°</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w14:anchorId="2F4C104C" id="Casella di testo 16" o:spid="_x0000_s1027" type="#_x0000_t202" style="position:absolute;margin-left:124.8pt;margin-top:19.4pt;width:25.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" filled="f" stroked="f">
                <v:textbox inset="2.16pt,1.8pt,0,0">
                  <w:txbxContent>
                    <w:p w:rsidR="00AE56D7" w:rsidRDefault="00AE56D7" w:rsidP="004416A0">
                      <w:pPr>
                        <w:pStyle w:val="NormaleWeb"/>
                        <w:spacing w:before="0" w:beforeAutospacing="0" w:after="0" w:afterAutospacing="0"/>
                      </w:pPr>
                      <w:r>
                        <w:rPr>
                          <w:rFonts w:ascii="Tahoma" w:eastAsia="Tahoma" w:hAnsi="Tahoma" w:cs="Tahoma"/>
                          <w:color w:val="000000"/>
                          <w:sz w:val="20"/>
                          <w:szCs w:val="20"/>
                        </w:rPr>
                        <w:t>II°</w:t>
                      </w:r>
                    </w:p>
                  </w:txbxContent>
                </v:textbox>
              </v:shape>
            </w:pict>
          </mc:Fallback>
        </mc:AlternateContent>
      </w:r>
      <w:r w:rsidRPr="006530A7">
        <w:rPr>
          <w:rFonts w:eastAsia="Times New Roman" w:cs="Calibri"/>
          <w:noProof/>
          <w:color w:val="000000"/>
          <w:lang w:eastAsia="it-IT"/>
        </w:rPr>
        <mc:AlternateContent>
          <mc:Choice Requires="wps">
            <w:drawing>
              <wp:anchor distT="0" distB="0" distL="114300" distR="114300" simplePos="0" relativeHeight="251687936" behindDoc="0" locked="0" layoutInCell="1" allowOverlap="1" wp14:anchorId="46B3A440" wp14:editId="74B10B4E">
                <wp:simplePos x="0" y="0"/>
                <wp:positionH relativeFrom="column">
                  <wp:posOffset>2470785</wp:posOffset>
                </wp:positionH>
                <wp:positionV relativeFrom="paragraph">
                  <wp:posOffset>236855</wp:posOffset>
                </wp:positionV>
                <wp:extent cx="361950" cy="19050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05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AE56D7" w:rsidRDefault="00AE56D7" w:rsidP="004416A0">
                            <w:pPr>
                              <w:pStyle w:val="NormaleWeb"/>
                              <w:spacing w:before="0" w:beforeAutospacing="0" w:after="0" w:afterAutospacing="0"/>
                            </w:pPr>
                            <w:r>
                              <w:rPr>
                                <w:rFonts w:ascii="Tahoma" w:eastAsia="Tahoma" w:hAnsi="Tahoma" w:cs="Tahoma"/>
                                <w:color w:val="000000"/>
                                <w:sz w:val="20"/>
                                <w:szCs w:val="20"/>
                              </w:rPr>
                              <w:t>III°</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w14:anchorId="46B3A440" id="Casella di testo 15" o:spid="_x0000_s1028" type="#_x0000_t202" style="position:absolute;margin-left:194.55pt;margin-top:18.65pt;width:28.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" filled="f" stroked="f">
                <v:textbox inset="2.16pt,1.8pt,0,0">
                  <w:txbxContent>
                    <w:p w:rsidR="00AE56D7" w:rsidRDefault="00AE56D7" w:rsidP="004416A0">
                      <w:pPr>
                        <w:pStyle w:val="NormaleWeb"/>
                        <w:spacing w:before="0" w:beforeAutospacing="0" w:after="0" w:afterAutospacing="0"/>
                      </w:pPr>
                      <w:r>
                        <w:rPr>
                          <w:rFonts w:ascii="Tahoma" w:eastAsia="Tahoma" w:hAnsi="Tahoma" w:cs="Tahoma"/>
                          <w:color w:val="000000"/>
                          <w:sz w:val="20"/>
                          <w:szCs w:val="20"/>
                        </w:rPr>
                        <w:t>III°</w:t>
                      </w:r>
                    </w:p>
                  </w:txbxContent>
                </v:textbox>
              </v:shape>
            </w:pict>
          </mc:Fallback>
        </mc:AlternateContent>
      </w:r>
      <w:r w:rsidRPr="006530A7">
        <w:rPr>
          <w:rFonts w:eastAsia="Times New Roman" w:cs="Calibri"/>
          <w:noProof/>
          <w:color w:val="000000"/>
          <w:lang w:eastAsia="it-IT"/>
        </w:rPr>
        <mc:AlternateContent>
          <mc:Choice Requires="wps">
            <w:drawing>
              <wp:anchor distT="0" distB="0" distL="114300" distR="114300" simplePos="0" relativeHeight="251692032" behindDoc="0" locked="0" layoutInCell="1" allowOverlap="1" wp14:anchorId="470BAA4B" wp14:editId="2590DBEF">
                <wp:simplePos x="0" y="0"/>
                <wp:positionH relativeFrom="column">
                  <wp:posOffset>3568700</wp:posOffset>
                </wp:positionH>
                <wp:positionV relativeFrom="paragraph">
                  <wp:posOffset>246380</wp:posOffset>
                </wp:positionV>
                <wp:extent cx="352425" cy="190500"/>
                <wp:effectExtent l="0" t="0" r="9525"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905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AE56D7" w:rsidRDefault="00AE56D7" w:rsidP="004416A0">
                            <w:pPr>
                              <w:pStyle w:val="NormaleWeb"/>
                              <w:spacing w:before="0" w:beforeAutospacing="0" w:after="0" w:afterAutospacing="0"/>
                            </w:pPr>
                            <w:r>
                              <w:rPr>
                                <w:rFonts w:ascii="Tahoma" w:eastAsia="Tahoma" w:hAnsi="Tahoma" w:cs="Tahoma"/>
                                <w:color w:val="000000"/>
                                <w:sz w:val="20"/>
                                <w:szCs w:val="20"/>
                              </w:rPr>
                              <w:t>IV°</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w14:anchorId="470BAA4B" id="Casella di testo 14" o:spid="_x0000_s1029" type="#_x0000_t202" style="position:absolute;margin-left:281pt;margin-top:19.4pt;width:27.7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" filled="f" stroked="f">
                <v:textbox inset="2.16pt,1.8pt,0,0">
                  <w:txbxContent>
                    <w:p w:rsidR="00AE56D7" w:rsidRDefault="00AE56D7" w:rsidP="004416A0">
                      <w:pPr>
                        <w:pStyle w:val="NormaleWeb"/>
                        <w:spacing w:before="0" w:beforeAutospacing="0" w:after="0" w:afterAutospacing="0"/>
                      </w:pPr>
                      <w:r>
                        <w:rPr>
                          <w:rFonts w:ascii="Tahoma" w:eastAsia="Tahoma" w:hAnsi="Tahoma" w:cs="Tahoma"/>
                          <w:color w:val="000000"/>
                          <w:sz w:val="20"/>
                          <w:szCs w:val="20"/>
                        </w:rPr>
                        <w:t>IV°</w:t>
                      </w:r>
                    </w:p>
                  </w:txbxContent>
                </v:textbox>
              </v:shape>
            </w:pict>
          </mc:Fallback>
        </mc:AlternateContent>
      </w:r>
      <w:r w:rsidRPr="006530A7">
        <w:rPr>
          <w:rFonts w:eastAsia="Times New Roman" w:cs="Calibri"/>
          <w:noProof/>
          <w:color w:val="000000"/>
          <w:lang w:eastAsia="it-IT"/>
        </w:rPr>
        <mc:AlternateContent>
          <mc:Choice Requires="wps">
            <w:drawing>
              <wp:anchor distT="0" distB="0" distL="114300" distR="114300" simplePos="0" relativeHeight="251694080" behindDoc="0" locked="0" layoutInCell="1" allowOverlap="1" wp14:anchorId="41522DC0" wp14:editId="08B1F4FF">
                <wp:simplePos x="0" y="0"/>
                <wp:positionH relativeFrom="column">
                  <wp:posOffset>4850765</wp:posOffset>
                </wp:positionH>
                <wp:positionV relativeFrom="paragraph">
                  <wp:posOffset>246380</wp:posOffset>
                </wp:positionV>
                <wp:extent cx="409575" cy="190500"/>
                <wp:effectExtent l="0" t="0" r="9525"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05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AE56D7" w:rsidRDefault="00AE56D7" w:rsidP="004416A0">
                            <w:pPr>
                              <w:pStyle w:val="NormaleWeb"/>
                              <w:spacing w:before="0" w:beforeAutospacing="0" w:after="0" w:afterAutospacing="0"/>
                            </w:pPr>
                            <w:r>
                              <w:rPr>
                                <w:rFonts w:ascii="Tahoma" w:eastAsia="Tahoma" w:hAnsi="Tahoma" w:cs="Tahoma"/>
                                <w:color w:val="000000"/>
                                <w:sz w:val="20"/>
                                <w:szCs w:val="20"/>
                              </w:rPr>
                              <w:t>V°</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w14:anchorId="41522DC0" id="Casella di testo 13" o:spid="_x0000_s1030" type="#_x0000_t202" style="position:absolute;margin-left:381.95pt;margin-top:19.4pt;width:32.2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" filled="f" stroked="f">
                <v:textbox inset="2.16pt,1.8pt,0,0">
                  <w:txbxContent>
                    <w:p w:rsidR="00AE56D7" w:rsidRDefault="00AE56D7" w:rsidP="004416A0">
                      <w:pPr>
                        <w:pStyle w:val="NormaleWeb"/>
                        <w:spacing w:before="0" w:beforeAutospacing="0" w:after="0" w:afterAutospacing="0"/>
                      </w:pPr>
                      <w:r>
                        <w:rPr>
                          <w:rFonts w:ascii="Tahoma" w:eastAsia="Tahoma" w:hAnsi="Tahoma" w:cs="Tahoma"/>
                          <w:color w:val="000000"/>
                          <w:sz w:val="20"/>
                          <w:szCs w:val="20"/>
                        </w:rPr>
                        <w:t>V°</w:t>
                      </w:r>
                    </w:p>
                  </w:txbxContent>
                </v:textbox>
              </v:shape>
            </w:pict>
          </mc:Fallback>
        </mc:AlternateContent>
      </w:r>
    </w:p>
    <w:tbl>
      <w:tblPr>
        <w:tblW w:w="8258" w:type="dxa"/>
        <w:tblCellMar>
          <w:left w:w="70" w:type="dxa"/>
          <w:right w:w="70" w:type="dxa"/>
        </w:tblCellMar>
        <w:tblLook w:val="04A0" w:firstRow="1" w:lastRow="0" w:firstColumn="1" w:lastColumn="0" w:noHBand="0" w:noVBand="1"/>
      </w:tblPr>
      <w:tblGrid>
        <w:gridCol w:w="1090"/>
        <w:gridCol w:w="896"/>
        <w:gridCol w:w="896"/>
        <w:gridCol w:w="896"/>
        <w:gridCol w:w="896"/>
        <w:gridCol w:w="896"/>
        <w:gridCol w:w="896"/>
        <w:gridCol w:w="896"/>
        <w:gridCol w:w="896"/>
      </w:tblGrid>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Calibri"/>
                <w:color w:val="000000"/>
                <w:lang w:eastAsia="it-IT"/>
              </w:rPr>
            </w:pPr>
          </w:p>
          <w:tbl>
            <w:tblPr>
              <w:tblW w:w="0" w:type="auto"/>
              <w:tblCellSpacing w:w="0" w:type="dxa"/>
              <w:tblCellMar>
                <w:left w:w="0" w:type="dxa"/>
                <w:right w:w="0" w:type="dxa"/>
              </w:tblCellMar>
              <w:tblLook w:val="04A0" w:firstRow="1" w:lastRow="0" w:firstColumn="1" w:lastColumn="0" w:noHBand="0" w:noVBand="1"/>
            </w:tblPr>
            <w:tblGrid>
              <w:gridCol w:w="880"/>
            </w:tblGrid>
            <w:tr w:rsidR="00386722" w:rsidRPr="006530A7">
              <w:trPr>
                <w:trHeight w:val="255"/>
                <w:tblCellSpacing w:w="0" w:type="dxa"/>
              </w:trPr>
              <w:tc>
                <w:tcPr>
                  <w:tcW w:w="88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Calibri"/>
                      <w:color w:val="000000"/>
                      <w:lang w:eastAsia="it-IT"/>
                    </w:rPr>
                  </w:pPr>
                </w:p>
              </w:tc>
            </w:tr>
          </w:tbl>
          <w:p w:rsidR="00386722" w:rsidRPr="006530A7" w:rsidRDefault="00386722" w:rsidP="004416A0">
            <w:pPr>
              <w:spacing w:after="0" w:line="240" w:lineRule="auto"/>
              <w:rPr>
                <w:rFonts w:eastAsia="Times New Roman" w:cs="Calibri"/>
                <w:color w:val="00000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7E6328" w:rsidP="004416A0">
            <w:pPr>
              <w:spacing w:after="0" w:line="240" w:lineRule="auto"/>
              <w:rPr>
                <w:rFonts w:eastAsia="Times New Roman" w:cs="Times New Roman"/>
                <w:sz w:val="20"/>
                <w:szCs w:val="20"/>
                <w:lang w:eastAsia="it-IT"/>
              </w:rPr>
            </w:pPr>
            <w:r w:rsidRPr="006530A7">
              <w:rPr>
                <w:rFonts w:eastAsia="Times New Roman" w:cs="Calibri"/>
                <w:noProof/>
                <w:color w:val="000000"/>
                <w:lang w:eastAsia="it-IT"/>
              </w:rPr>
              <mc:AlternateContent>
                <mc:Choice Requires="wps">
                  <w:drawing>
                    <wp:anchor distT="0" distB="0" distL="114300" distR="114300" simplePos="0" relativeHeight="251659264" behindDoc="0" locked="0" layoutInCell="1" allowOverlap="1" wp14:anchorId="5723714A" wp14:editId="05BDF795">
                      <wp:simplePos x="0" y="0"/>
                      <wp:positionH relativeFrom="column">
                        <wp:posOffset>153670</wp:posOffset>
                      </wp:positionH>
                      <wp:positionV relativeFrom="paragraph">
                        <wp:posOffset>-1816100</wp:posOffset>
                      </wp:positionV>
                      <wp:extent cx="9525" cy="3114675"/>
                      <wp:effectExtent l="0" t="0" r="28575" b="28575"/>
                      <wp:wrapNone/>
                      <wp:docPr id="20" name="Connettore 1 20"/>
                      <wp:cNvGraphicFramePr/>
                      <a:graphic xmlns:a="http://schemas.openxmlformats.org/drawingml/2006/main">
                        <a:graphicData uri="http://schemas.microsoft.com/office/word/2010/wordprocessingShape">
                          <wps:wsp>
                            <wps:cNvCnPr/>
                            <wps:spPr bwMode="auto">
                              <a:xfrm flipH="1" flipV="1">
                                <a:off x="0" y="0"/>
                                <a:ext cx="9525" cy="3114675"/>
                              </a:xfrm>
                              <a:prstGeom prst="line">
                                <a:avLst/>
                              </a:prstGeom>
                              <a:noFill/>
                              <a:ln w="19050">
                                <a:solidFill>
                                  <a:schemeClr val="accent1">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96F26" id="Connettore 1 2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43pt" to="12.8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" strokecolor="#1f4d78 [1604]" strokeweight="1.5pt">
                      <v:stroke dashstyle="dash"/>
                    </v:line>
                  </w:pict>
                </mc:Fallback>
              </mc:AlternateContent>
            </w: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170"/>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7E6328" w:rsidP="004416A0">
            <w:pPr>
              <w:spacing w:after="0" w:line="240" w:lineRule="auto"/>
              <w:rPr>
                <w:rFonts w:eastAsia="Times New Roman" w:cs="Times New Roman"/>
                <w:sz w:val="20"/>
                <w:szCs w:val="20"/>
                <w:lang w:eastAsia="it-IT"/>
              </w:rPr>
            </w:pPr>
            <w:r w:rsidRPr="006530A7">
              <w:rPr>
                <w:rFonts w:eastAsia="Times New Roman" w:cs="Calibri"/>
                <w:noProof/>
                <w:color w:val="000000"/>
                <w:lang w:eastAsia="it-IT"/>
              </w:rPr>
              <mc:AlternateContent>
                <mc:Choice Requires="wps">
                  <w:drawing>
                    <wp:anchor distT="0" distB="0" distL="114300" distR="114300" simplePos="0" relativeHeight="251667456" behindDoc="0" locked="0" layoutInCell="1" allowOverlap="1" wp14:anchorId="07BA5651" wp14:editId="128E0E29">
                      <wp:simplePos x="0" y="0"/>
                      <wp:positionH relativeFrom="column">
                        <wp:posOffset>297815</wp:posOffset>
                      </wp:positionH>
                      <wp:positionV relativeFrom="paragraph">
                        <wp:posOffset>-2226945</wp:posOffset>
                      </wp:positionV>
                      <wp:extent cx="0" cy="3124200"/>
                      <wp:effectExtent l="0" t="0" r="19050" b="19050"/>
                      <wp:wrapNone/>
                      <wp:docPr id="18" name="Connettore 1 18"/>
                      <wp:cNvGraphicFramePr/>
                      <a:graphic xmlns:a="http://schemas.openxmlformats.org/drawingml/2006/main">
                        <a:graphicData uri="http://schemas.microsoft.com/office/word/2010/wordprocessingShape">
                          <wps:wsp>
                            <wps:cNvCnPr/>
                            <wps:spPr bwMode="auto">
                              <a:xfrm flipV="1">
                                <a:off x="0" y="0"/>
                                <a:ext cx="0" cy="3124200"/>
                              </a:xfrm>
                              <a:prstGeom prst="line">
                                <a:avLst/>
                              </a:prstGeom>
                              <a:noFill/>
                              <a:ln w="19050">
                                <a:solidFill>
                                  <a:schemeClr val="accent1">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4E187" id="Connettore 1 1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75.35pt" to="23.4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" strokecolor="#1f4d78 [1604]" strokeweight="1.5pt">
                      <v:stroke dashstyle="dash"/>
                    </v:line>
                  </w:pict>
                </mc:Fallback>
              </mc:AlternateContent>
            </w: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7E6328" w:rsidP="004416A0">
            <w:pPr>
              <w:spacing w:after="0" w:line="240" w:lineRule="auto"/>
              <w:rPr>
                <w:rFonts w:eastAsia="Times New Roman" w:cs="Times New Roman"/>
                <w:sz w:val="20"/>
                <w:szCs w:val="20"/>
                <w:lang w:eastAsia="it-IT"/>
              </w:rPr>
            </w:pPr>
            <w:r w:rsidRPr="006530A7">
              <w:rPr>
                <w:rFonts w:eastAsia="Times New Roman" w:cs="Calibri"/>
                <w:noProof/>
                <w:color w:val="000000"/>
                <w:lang w:eastAsia="it-IT"/>
              </w:rPr>
              <mc:AlternateContent>
                <mc:Choice Requires="wps">
                  <w:drawing>
                    <wp:anchor distT="0" distB="0" distL="114300" distR="114300" simplePos="0" relativeHeight="251673600" behindDoc="0" locked="0" layoutInCell="1" allowOverlap="1" wp14:anchorId="6EC1FF3A" wp14:editId="23694716">
                      <wp:simplePos x="0" y="0"/>
                      <wp:positionH relativeFrom="column">
                        <wp:posOffset>-19685</wp:posOffset>
                      </wp:positionH>
                      <wp:positionV relativeFrom="paragraph">
                        <wp:posOffset>-2219325</wp:posOffset>
                      </wp:positionV>
                      <wp:extent cx="0" cy="3124200"/>
                      <wp:effectExtent l="0" t="0" r="19050" b="19050"/>
                      <wp:wrapNone/>
                      <wp:docPr id="17" name="Connettore 1 17"/>
                      <wp:cNvGraphicFramePr/>
                      <a:graphic xmlns:a="http://schemas.openxmlformats.org/drawingml/2006/main">
                        <a:graphicData uri="http://schemas.microsoft.com/office/word/2010/wordprocessingShape">
                          <wps:wsp>
                            <wps:cNvCnPr/>
                            <wps:spPr bwMode="auto">
                              <a:xfrm flipV="1">
                                <a:off x="0" y="0"/>
                                <a:ext cx="0" cy="3124200"/>
                              </a:xfrm>
                              <a:prstGeom prst="line">
                                <a:avLst/>
                              </a:prstGeom>
                              <a:noFill/>
                              <a:ln w="19050">
                                <a:solidFill>
                                  <a:schemeClr val="accent1">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D426A" id="Connettore 1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74.75pt" to="-1.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" strokecolor="#1f4d78 [1604]" strokeweight="1.5pt">
                      <v:stroke dashstyle="dash"/>
                    </v:line>
                  </w:pict>
                </mc:Fallback>
              </mc:AlternateContent>
            </w: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7E6328" w:rsidP="004416A0">
            <w:pPr>
              <w:spacing w:after="0" w:line="240" w:lineRule="auto"/>
              <w:rPr>
                <w:rFonts w:eastAsia="Times New Roman" w:cs="Times New Roman"/>
                <w:sz w:val="20"/>
                <w:szCs w:val="20"/>
                <w:lang w:eastAsia="it-IT"/>
              </w:rPr>
            </w:pPr>
            <w:r w:rsidRPr="006530A7">
              <w:rPr>
                <w:rFonts w:eastAsia="Times New Roman" w:cs="Calibri"/>
                <w:noProof/>
                <w:color w:val="000000"/>
                <w:lang w:eastAsia="it-IT"/>
              </w:rPr>
              <mc:AlternateContent>
                <mc:Choice Requires="wps">
                  <w:drawing>
                    <wp:anchor distT="0" distB="0" distL="114300" distR="114300" simplePos="0" relativeHeight="251663360" behindDoc="0" locked="0" layoutInCell="1" allowOverlap="1" wp14:anchorId="18D8E9F1" wp14:editId="549378F3">
                      <wp:simplePos x="0" y="0"/>
                      <wp:positionH relativeFrom="column">
                        <wp:posOffset>339725</wp:posOffset>
                      </wp:positionH>
                      <wp:positionV relativeFrom="paragraph">
                        <wp:posOffset>-2406015</wp:posOffset>
                      </wp:positionV>
                      <wp:extent cx="0" cy="3114675"/>
                      <wp:effectExtent l="0" t="0" r="19050" b="9525"/>
                      <wp:wrapNone/>
                      <wp:docPr id="19" name="Connettore 1 19"/>
                      <wp:cNvGraphicFramePr/>
                      <a:graphic xmlns:a="http://schemas.openxmlformats.org/drawingml/2006/main">
                        <a:graphicData uri="http://schemas.microsoft.com/office/word/2010/wordprocessingShape">
                          <wps:wsp>
                            <wps:cNvCnPr/>
                            <wps:spPr bwMode="auto">
                              <a:xfrm flipV="1">
                                <a:off x="0" y="0"/>
                                <a:ext cx="0" cy="3114675"/>
                              </a:xfrm>
                              <a:prstGeom prst="line">
                                <a:avLst/>
                              </a:prstGeom>
                              <a:noFill/>
                              <a:ln w="19050">
                                <a:solidFill>
                                  <a:schemeClr val="accent1">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15EC6" id="Connettore 1 1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89.45pt" to="26.7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" strokecolor="#1f4d78 [1604]" strokeweight="1.5pt">
                      <v:stroke dashstyle="dash"/>
                    </v:line>
                  </w:pict>
                </mc:Fallback>
              </mc:AlternateContent>
            </w: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r w:rsidR="00386722" w:rsidRPr="006530A7" w:rsidTr="00386722">
        <w:trPr>
          <w:trHeight w:val="255"/>
        </w:trPr>
        <w:tc>
          <w:tcPr>
            <w:tcW w:w="1090"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c>
          <w:tcPr>
            <w:tcW w:w="896" w:type="dxa"/>
            <w:tcBorders>
              <w:top w:val="nil"/>
              <w:left w:val="nil"/>
              <w:bottom w:val="nil"/>
              <w:right w:val="nil"/>
            </w:tcBorders>
            <w:shd w:val="clear" w:color="auto" w:fill="auto"/>
            <w:noWrap/>
            <w:vAlign w:val="bottom"/>
            <w:hideMark/>
          </w:tcPr>
          <w:p w:rsidR="00386722" w:rsidRPr="006530A7" w:rsidRDefault="00386722" w:rsidP="004416A0">
            <w:pPr>
              <w:spacing w:after="0" w:line="240" w:lineRule="auto"/>
              <w:rPr>
                <w:rFonts w:eastAsia="Times New Roman" w:cs="Times New Roman"/>
                <w:sz w:val="20"/>
                <w:szCs w:val="20"/>
                <w:lang w:eastAsia="it-IT"/>
              </w:rPr>
            </w:pPr>
          </w:p>
        </w:tc>
      </w:tr>
    </w:tbl>
    <w:p w:rsidR="004D3A0C" w:rsidRPr="00F54056" w:rsidRDefault="0013044F" w:rsidP="00F54056">
      <w:pPr>
        <w:pStyle w:val="StileFonte"/>
      </w:pPr>
      <w:r w:rsidRPr="006530A7">
        <w:rPr>
          <w:color w:val="000000"/>
        </w:rPr>
        <w:t xml:space="preserve">Fonte: </w:t>
      </w:r>
      <w:r w:rsidR="008D04F1">
        <w:t>elaborazione</w:t>
      </w:r>
      <w:r w:rsidRPr="006530A7">
        <w:t xml:space="preserve"> </w:t>
      </w:r>
      <w:r w:rsidR="00A32FA8">
        <w:t xml:space="preserve">© </w:t>
      </w:r>
      <w:r w:rsidRPr="006530A7">
        <w:t>RUR, 2016</w:t>
      </w:r>
      <w:r w:rsidR="00B5265A">
        <w:t xml:space="preserve"> </w:t>
      </w:r>
    </w:p>
    <w:p w:rsidR="00CB18B1" w:rsidRDefault="00BD426C" w:rsidP="00F463C6">
      <w:pPr>
        <w:spacing w:before="120" w:after="120"/>
        <w:jc w:val="both"/>
        <w:rPr>
          <w:sz w:val="24"/>
          <w:szCs w:val="24"/>
        </w:rPr>
      </w:pPr>
      <w:r w:rsidRPr="0088646B">
        <w:rPr>
          <w:sz w:val="24"/>
          <w:szCs w:val="24"/>
        </w:rPr>
        <w:t>In buona sostanza, ciò che emerge dal modello statistico</w:t>
      </w:r>
      <w:r w:rsidR="00D1570E" w:rsidRPr="0088646B">
        <w:rPr>
          <w:sz w:val="24"/>
          <w:szCs w:val="24"/>
        </w:rPr>
        <w:t xml:space="preserve"> è la </w:t>
      </w:r>
      <w:r w:rsidR="00D1570E" w:rsidRPr="00A32FA8">
        <w:rPr>
          <w:b/>
          <w:sz w:val="24"/>
          <w:szCs w:val="24"/>
        </w:rPr>
        <w:t>normalizzazione del real estate italiano</w:t>
      </w:r>
      <w:r w:rsidR="00D1570E" w:rsidRPr="0088646B">
        <w:rPr>
          <w:sz w:val="24"/>
          <w:szCs w:val="24"/>
        </w:rPr>
        <w:t xml:space="preserve"> e la sua necessaria modernizzazione, basata su un più avanzato rapporto fra domanda e offerta. </w:t>
      </w:r>
      <w:r w:rsidR="00ED73B3" w:rsidRPr="0088646B">
        <w:rPr>
          <w:sz w:val="24"/>
          <w:szCs w:val="24"/>
        </w:rPr>
        <w:t xml:space="preserve">Un mercato molto più simile a quello dei grandi paesi europei. Il consumo abitativo risponderà sempre più a scelte basate sulle opportunità, </w:t>
      </w:r>
      <w:r w:rsidR="00ED73B3" w:rsidRPr="0088646B">
        <w:rPr>
          <w:sz w:val="24"/>
          <w:szCs w:val="24"/>
        </w:rPr>
        <w:lastRenderedPageBreak/>
        <w:t>sarà più aderente ai bisogni dei diversi segmenti sociali. Teniamo conto che, pur trattandosi di comportamenti influenzati da paradigmi valoriali ed emozionali, l’impatt</w:t>
      </w:r>
      <w:r w:rsidR="000850F4">
        <w:rPr>
          <w:sz w:val="24"/>
          <w:szCs w:val="24"/>
        </w:rPr>
        <w:t>o delle tecnologie informative offrono</w:t>
      </w:r>
      <w:r w:rsidR="00ED73B3" w:rsidRPr="0088646B">
        <w:rPr>
          <w:sz w:val="24"/>
          <w:szCs w:val="24"/>
        </w:rPr>
        <w:t xml:space="preserve">, ora, al consumatore più strumenti per </w:t>
      </w:r>
      <w:r w:rsidR="00ED73B3" w:rsidRPr="0088646B">
        <w:rPr>
          <w:i/>
          <w:sz w:val="24"/>
          <w:szCs w:val="24"/>
        </w:rPr>
        <w:t>mixare “desiderio” e “utilità”</w:t>
      </w:r>
      <w:r w:rsidR="000850F4">
        <w:rPr>
          <w:sz w:val="24"/>
          <w:szCs w:val="24"/>
        </w:rPr>
        <w:t xml:space="preserve">, </w:t>
      </w:r>
      <w:r w:rsidR="000850F4" w:rsidRPr="00D74C84">
        <w:rPr>
          <w:sz w:val="24"/>
          <w:szCs w:val="24"/>
        </w:rPr>
        <w:t>potendo facilmente confrontare le offerte e la qualità dei prodotti sul mercato dal punto di vista prestazionale.</w:t>
      </w:r>
    </w:p>
    <w:p w:rsidR="00ED73B3" w:rsidRPr="006530A7" w:rsidRDefault="00ED73B3" w:rsidP="00822ADA">
      <w:pPr>
        <w:pStyle w:val="Titolo2"/>
        <w:numPr>
          <w:ilvl w:val="1"/>
          <w:numId w:val="16"/>
        </w:numPr>
        <w:spacing w:before="640" w:after="320"/>
        <w:ind w:left="0" w:firstLine="0"/>
        <w:rPr>
          <w:rFonts w:asciiTheme="minorHAnsi" w:hAnsiTheme="minorHAnsi"/>
        </w:rPr>
      </w:pPr>
      <w:bookmarkStart w:id="7" w:name="_Toc445539590"/>
      <w:r w:rsidRPr="006530A7">
        <w:rPr>
          <w:rFonts w:asciiTheme="minorHAnsi" w:hAnsiTheme="minorHAnsi"/>
          <w:color w:val="auto"/>
        </w:rPr>
        <w:t>Gli andamenti del prossimo triennio</w:t>
      </w:r>
      <w:r w:rsidR="000850F4">
        <w:rPr>
          <w:rFonts w:asciiTheme="minorHAnsi" w:hAnsiTheme="minorHAnsi"/>
          <w:color w:val="auto"/>
        </w:rPr>
        <w:t>: un’analisi di dettaglio</w:t>
      </w:r>
      <w:bookmarkEnd w:id="7"/>
    </w:p>
    <w:p w:rsidR="00ED73B3" w:rsidRPr="0088646B" w:rsidRDefault="00E23CC0" w:rsidP="00F463C6">
      <w:pPr>
        <w:spacing w:before="120" w:after="120"/>
        <w:jc w:val="both"/>
        <w:rPr>
          <w:sz w:val="24"/>
          <w:szCs w:val="24"/>
        </w:rPr>
      </w:pPr>
      <w:r>
        <w:rPr>
          <w:sz w:val="24"/>
          <w:szCs w:val="24"/>
        </w:rPr>
        <w:t>Il triennio 2016</w:t>
      </w:r>
      <w:r w:rsidR="00ED73B3" w:rsidRPr="0088646B">
        <w:rPr>
          <w:sz w:val="24"/>
          <w:szCs w:val="24"/>
        </w:rPr>
        <w:t xml:space="preserve">-2018 si presenta, quindi, come un periodo di crescita dei volumi scambiati, favorito da una certa stabilità </w:t>
      </w:r>
      <w:r w:rsidR="000F2C6A">
        <w:rPr>
          <w:sz w:val="24"/>
          <w:szCs w:val="24"/>
        </w:rPr>
        <w:t>dei</w:t>
      </w:r>
      <w:r w:rsidR="00ED73B3" w:rsidRPr="0088646B">
        <w:rPr>
          <w:sz w:val="24"/>
          <w:szCs w:val="24"/>
        </w:rPr>
        <w:t xml:space="preserve"> prezzi nei primi due e d</w:t>
      </w:r>
      <w:r w:rsidR="000F146D">
        <w:rPr>
          <w:sz w:val="24"/>
          <w:szCs w:val="24"/>
        </w:rPr>
        <w:t>i</w:t>
      </w:r>
      <w:r w:rsidR="00ED73B3" w:rsidRPr="0088646B">
        <w:rPr>
          <w:sz w:val="24"/>
          <w:szCs w:val="24"/>
        </w:rPr>
        <w:t xml:space="preserve"> una ripartenza dei valori dal 2018.</w:t>
      </w:r>
    </w:p>
    <w:p w:rsidR="009810AA" w:rsidRPr="0088646B" w:rsidRDefault="00ED73B3" w:rsidP="00F463C6">
      <w:pPr>
        <w:spacing w:before="120" w:after="120"/>
        <w:jc w:val="both"/>
        <w:rPr>
          <w:sz w:val="24"/>
          <w:szCs w:val="24"/>
        </w:rPr>
      </w:pPr>
      <w:r w:rsidRPr="0088646B">
        <w:rPr>
          <w:sz w:val="24"/>
          <w:szCs w:val="24"/>
        </w:rPr>
        <w:t>In particolare,</w:t>
      </w:r>
      <w:r w:rsidR="009810AA" w:rsidRPr="0088646B">
        <w:rPr>
          <w:sz w:val="24"/>
          <w:szCs w:val="24"/>
        </w:rPr>
        <w:t xml:space="preserve"> nel 2016 le </w:t>
      </w:r>
      <w:r w:rsidR="009810AA" w:rsidRPr="0088646B">
        <w:rPr>
          <w:b/>
          <w:sz w:val="24"/>
          <w:szCs w:val="24"/>
        </w:rPr>
        <w:t>compravendite di immobili residenziali</w:t>
      </w:r>
      <w:r w:rsidR="009810AA" w:rsidRPr="0088646B">
        <w:rPr>
          <w:sz w:val="24"/>
          <w:szCs w:val="24"/>
        </w:rPr>
        <w:t xml:space="preserve"> registreranno un +</w:t>
      </w:r>
      <w:r w:rsidR="00C56CE3">
        <w:rPr>
          <w:sz w:val="24"/>
          <w:szCs w:val="24"/>
        </w:rPr>
        <w:t>4,8</w:t>
      </w:r>
      <w:r w:rsidR="009810AA" w:rsidRPr="0088646B">
        <w:rPr>
          <w:sz w:val="24"/>
          <w:szCs w:val="24"/>
        </w:rPr>
        <w:t xml:space="preserve">%, nel 2017 un + </w:t>
      </w:r>
      <w:r w:rsidR="00C56CE3">
        <w:rPr>
          <w:sz w:val="24"/>
          <w:szCs w:val="24"/>
        </w:rPr>
        <w:t>8,7</w:t>
      </w:r>
      <w:r w:rsidR="009810AA" w:rsidRPr="0088646B">
        <w:rPr>
          <w:sz w:val="24"/>
          <w:szCs w:val="24"/>
        </w:rPr>
        <w:t>% per stabilizzarsi nel 2018 con un +</w:t>
      </w:r>
      <w:r w:rsidR="000F2C6A">
        <w:rPr>
          <w:sz w:val="24"/>
          <w:szCs w:val="24"/>
        </w:rPr>
        <w:t>5,9</w:t>
      </w:r>
      <w:r w:rsidR="009810AA" w:rsidRPr="0088646B">
        <w:rPr>
          <w:sz w:val="24"/>
          <w:szCs w:val="24"/>
        </w:rPr>
        <w:t>%.</w:t>
      </w:r>
    </w:p>
    <w:p w:rsidR="004D3A0C" w:rsidRPr="0088646B" w:rsidRDefault="009810AA" w:rsidP="00F463C6">
      <w:pPr>
        <w:spacing w:before="120" w:after="120"/>
        <w:jc w:val="both"/>
        <w:rPr>
          <w:sz w:val="24"/>
          <w:szCs w:val="24"/>
        </w:rPr>
      </w:pPr>
      <w:r w:rsidRPr="0088646B">
        <w:rPr>
          <w:sz w:val="24"/>
          <w:szCs w:val="24"/>
        </w:rPr>
        <w:t xml:space="preserve">Per quanto riguarda i </w:t>
      </w:r>
      <w:r w:rsidRPr="0088646B">
        <w:rPr>
          <w:b/>
          <w:sz w:val="24"/>
          <w:szCs w:val="24"/>
        </w:rPr>
        <w:t>prezzi medi di riferimento</w:t>
      </w:r>
      <w:r w:rsidR="000F2C6A">
        <w:rPr>
          <w:b/>
          <w:sz w:val="24"/>
          <w:szCs w:val="24"/>
        </w:rPr>
        <w:t xml:space="preserve"> </w:t>
      </w:r>
      <w:r w:rsidR="000F2C6A" w:rsidRPr="000F2C6A">
        <w:rPr>
          <w:sz w:val="24"/>
          <w:szCs w:val="24"/>
        </w:rPr>
        <w:t>(in termini reali)</w:t>
      </w:r>
      <w:r w:rsidRPr="0088646B">
        <w:rPr>
          <w:sz w:val="24"/>
          <w:szCs w:val="24"/>
        </w:rPr>
        <w:t xml:space="preserve"> continueranno a contrarsi di poco più del 2% nel 2016 e nel 2017, per tornare </w:t>
      </w:r>
      <w:r w:rsidR="006327B6" w:rsidRPr="0088646B">
        <w:rPr>
          <w:sz w:val="24"/>
          <w:szCs w:val="24"/>
        </w:rPr>
        <w:t>al positivo nel 2018 con +5,5</w:t>
      </w:r>
      <w:r w:rsidR="006327B6" w:rsidRPr="008C387B">
        <w:rPr>
          <w:sz w:val="24"/>
          <w:szCs w:val="24"/>
        </w:rPr>
        <w:t xml:space="preserve">% </w:t>
      </w:r>
      <w:r w:rsidRPr="008C387B">
        <w:rPr>
          <w:sz w:val="24"/>
          <w:szCs w:val="24"/>
        </w:rPr>
        <w:t>(</w:t>
      </w:r>
      <w:r w:rsidR="00831C03" w:rsidRPr="008C387B">
        <w:rPr>
          <w:sz w:val="24"/>
          <w:szCs w:val="24"/>
        </w:rPr>
        <w:t>f</w:t>
      </w:r>
      <w:r w:rsidRPr="008C387B">
        <w:rPr>
          <w:sz w:val="24"/>
          <w:szCs w:val="24"/>
        </w:rPr>
        <w:t>ig.</w:t>
      </w:r>
      <w:r w:rsidR="00E56801" w:rsidRPr="008C387B">
        <w:rPr>
          <w:sz w:val="24"/>
          <w:szCs w:val="24"/>
        </w:rPr>
        <w:t xml:space="preserve"> </w:t>
      </w:r>
      <w:r w:rsidRPr="008C387B">
        <w:rPr>
          <w:sz w:val="24"/>
          <w:szCs w:val="24"/>
        </w:rPr>
        <w:t>1</w:t>
      </w:r>
      <w:r w:rsidR="005A66DF" w:rsidRPr="008C387B">
        <w:rPr>
          <w:sz w:val="24"/>
          <w:szCs w:val="24"/>
        </w:rPr>
        <w:t>1</w:t>
      </w:r>
      <w:r w:rsidRPr="008C387B">
        <w:rPr>
          <w:sz w:val="24"/>
          <w:szCs w:val="24"/>
        </w:rPr>
        <w:t>)</w:t>
      </w:r>
      <w:r w:rsidR="006327B6" w:rsidRPr="008C387B">
        <w:rPr>
          <w:sz w:val="24"/>
          <w:szCs w:val="24"/>
        </w:rPr>
        <w:t>.</w:t>
      </w:r>
    </w:p>
    <w:p w:rsidR="006427F8" w:rsidRPr="006530A7" w:rsidRDefault="00D95776" w:rsidP="00097AFE">
      <w:pPr>
        <w:pStyle w:val="Titolotabella"/>
      </w:pPr>
      <w:r w:rsidRPr="006530A7">
        <w:t>Fig.1</w:t>
      </w:r>
      <w:r w:rsidR="005A66DF">
        <w:t>1</w:t>
      </w:r>
      <w:r w:rsidRPr="006530A7">
        <w:t xml:space="preserve"> – Com</w:t>
      </w:r>
      <w:r w:rsidR="009810AA" w:rsidRPr="006530A7">
        <w:t>pravendite e prezzi medi per immobili residenziali 201</w:t>
      </w:r>
      <w:r w:rsidR="0051048E">
        <w:t>5</w:t>
      </w:r>
      <w:r w:rsidR="009810AA" w:rsidRPr="006530A7">
        <w:t xml:space="preserve"> – 2018 </w:t>
      </w:r>
      <w:r w:rsidR="00642F3A" w:rsidRPr="006530A7">
        <w:t>(var.% su anno precedente)</w:t>
      </w:r>
    </w:p>
    <w:p w:rsidR="006427F8" w:rsidRPr="006530A7" w:rsidRDefault="006427F8" w:rsidP="00ED73B3">
      <w:pPr>
        <w:jc w:val="both"/>
      </w:pPr>
      <w:r w:rsidRPr="006530A7">
        <w:rPr>
          <w:noProof/>
          <w:lang w:eastAsia="it-IT"/>
        </w:rPr>
        <w:drawing>
          <wp:inline distT="0" distB="0" distL="0" distR="0" wp14:anchorId="2DB674DA" wp14:editId="4BADA01E">
            <wp:extent cx="5403272" cy="2838203"/>
            <wp:effectExtent l="0" t="0" r="6985" b="63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2C6A" w:rsidRPr="00F54056" w:rsidRDefault="000F2C6A" w:rsidP="000F2C6A">
      <w:pPr>
        <w:pStyle w:val="StileFonte"/>
      </w:pPr>
      <w:r w:rsidRPr="006530A7">
        <w:rPr>
          <w:color w:val="000000"/>
        </w:rPr>
        <w:t xml:space="preserve">Fonte: </w:t>
      </w:r>
      <w:r>
        <w:t>elaborazione</w:t>
      </w:r>
      <w:r w:rsidRPr="006530A7">
        <w:t xml:space="preserve"> </w:t>
      </w:r>
      <w:r>
        <w:t xml:space="preserve">© </w:t>
      </w:r>
      <w:r w:rsidRPr="006530A7">
        <w:t>RUR, 2016</w:t>
      </w:r>
      <w:r>
        <w:t xml:space="preserve"> </w:t>
      </w:r>
    </w:p>
    <w:p w:rsidR="00CA3F79" w:rsidRPr="0088646B" w:rsidRDefault="006427F8" w:rsidP="00F463C6">
      <w:pPr>
        <w:spacing w:before="120" w:after="120"/>
        <w:jc w:val="both"/>
        <w:rPr>
          <w:sz w:val="24"/>
          <w:szCs w:val="24"/>
        </w:rPr>
      </w:pPr>
      <w:r w:rsidRPr="0088646B">
        <w:rPr>
          <w:sz w:val="24"/>
          <w:szCs w:val="24"/>
        </w:rPr>
        <w:lastRenderedPageBreak/>
        <w:t xml:space="preserve">Naturalmente, il valore medio di riferimento costituisce </w:t>
      </w:r>
      <w:r w:rsidR="00584E4E">
        <w:rPr>
          <w:sz w:val="24"/>
          <w:szCs w:val="24"/>
        </w:rPr>
        <w:t>un’evidenza sintetica</w:t>
      </w:r>
      <w:r w:rsidRPr="0088646B">
        <w:rPr>
          <w:sz w:val="24"/>
          <w:szCs w:val="24"/>
        </w:rPr>
        <w:t>. Attraverso il REI Index, nei capitoli successivi, si potr</w:t>
      </w:r>
      <w:r w:rsidR="00CA3F79" w:rsidRPr="0088646B">
        <w:rPr>
          <w:sz w:val="24"/>
          <w:szCs w:val="24"/>
        </w:rPr>
        <w:t>anno</w:t>
      </w:r>
      <w:r w:rsidRPr="0088646B">
        <w:rPr>
          <w:sz w:val="24"/>
          <w:szCs w:val="24"/>
        </w:rPr>
        <w:t xml:space="preserve"> </w:t>
      </w:r>
      <w:r w:rsidR="00185664">
        <w:rPr>
          <w:sz w:val="24"/>
          <w:szCs w:val="24"/>
        </w:rPr>
        <w:t>mostrare</w:t>
      </w:r>
      <w:r w:rsidR="00CA3F79" w:rsidRPr="0088646B">
        <w:rPr>
          <w:sz w:val="24"/>
          <w:szCs w:val="24"/>
        </w:rPr>
        <w:t xml:space="preserve"> le diversificazioni sia di tipo geografico che territoriale.</w:t>
      </w:r>
    </w:p>
    <w:p w:rsidR="00CA3F79" w:rsidRPr="0088646B" w:rsidRDefault="00CA3F79" w:rsidP="00F463C6">
      <w:pPr>
        <w:spacing w:before="120" w:after="120"/>
        <w:jc w:val="both"/>
        <w:rPr>
          <w:sz w:val="24"/>
          <w:szCs w:val="24"/>
        </w:rPr>
      </w:pPr>
      <w:r w:rsidRPr="0088646B">
        <w:rPr>
          <w:sz w:val="24"/>
          <w:szCs w:val="24"/>
        </w:rPr>
        <w:t>Se lo rapportiamo ai valori reali medi, così come rilevati dall’Agenzia del territorio, i differenziali risultano relativamente apprezzabili. Per i prossimi due anni si può ragionevolmente affermare che è prevedibile una stazionarietà dei prezzi, che sembrano aver raggiunto un livello di minima.</w:t>
      </w:r>
    </w:p>
    <w:p w:rsidR="00DC7BB1" w:rsidRPr="0088646B" w:rsidRDefault="00D14959" w:rsidP="00F463C6">
      <w:pPr>
        <w:spacing w:before="120" w:after="120"/>
        <w:jc w:val="both"/>
        <w:rPr>
          <w:sz w:val="24"/>
          <w:szCs w:val="24"/>
        </w:rPr>
      </w:pPr>
      <w:r w:rsidRPr="0088646B">
        <w:rPr>
          <w:sz w:val="24"/>
          <w:szCs w:val="24"/>
        </w:rPr>
        <w:t xml:space="preserve">A conferma dei trend descritti vi sono alcune </w:t>
      </w:r>
      <w:r w:rsidR="000F2C6A">
        <w:rPr>
          <w:sz w:val="24"/>
          <w:szCs w:val="24"/>
        </w:rPr>
        <w:t>analisi</w:t>
      </w:r>
      <w:r w:rsidRPr="0088646B">
        <w:rPr>
          <w:sz w:val="24"/>
          <w:szCs w:val="24"/>
        </w:rPr>
        <w:t xml:space="preserve"> internazionali segnalate dal Fondo Monetario Internazionale (gennaio 2016) che ved</w:t>
      </w:r>
      <w:r w:rsidR="00725D32">
        <w:rPr>
          <w:sz w:val="24"/>
          <w:szCs w:val="24"/>
        </w:rPr>
        <w:t>ono</w:t>
      </w:r>
      <w:r w:rsidRPr="0088646B">
        <w:rPr>
          <w:sz w:val="24"/>
          <w:szCs w:val="24"/>
        </w:rPr>
        <w:t xml:space="preserve"> un lento miglioramento della situazione globale del real estate. Dal picco della crisi finanziaria, nel 2009, che vedeva una riduzione dei prezzi degli immobili nel 75% dei paesi aderenti, si </w:t>
      </w:r>
      <w:r w:rsidR="007A3272" w:rsidRPr="0088646B">
        <w:rPr>
          <w:sz w:val="24"/>
          <w:szCs w:val="24"/>
        </w:rPr>
        <w:t>è oggi scesi al 24</w:t>
      </w:r>
      <w:r w:rsidRPr="0088646B">
        <w:rPr>
          <w:sz w:val="24"/>
          <w:szCs w:val="24"/>
        </w:rPr>
        <w:t xml:space="preserve">% dei mercati </w:t>
      </w:r>
      <w:r w:rsidR="006B0741">
        <w:rPr>
          <w:sz w:val="24"/>
          <w:szCs w:val="24"/>
        </w:rPr>
        <w:t>na</w:t>
      </w:r>
      <w:r w:rsidR="000F2C6A">
        <w:rPr>
          <w:sz w:val="24"/>
          <w:szCs w:val="24"/>
        </w:rPr>
        <w:t>zionali monitorati. Anche l’Ocse</w:t>
      </w:r>
      <w:r w:rsidRPr="0088646B">
        <w:rPr>
          <w:sz w:val="24"/>
          <w:szCs w:val="24"/>
        </w:rPr>
        <w:t xml:space="preserve"> prevede per i prossimi anni un miglioramento, tenuto conto che da diversi trimestri i valori risultano in crescita. Tuttavia, le stime effettuate fanno registrare significative differenze per Francia e Italia, in ritardo nel processo di </w:t>
      </w:r>
      <w:r w:rsidRPr="008C387B">
        <w:rPr>
          <w:i/>
          <w:sz w:val="24"/>
          <w:szCs w:val="24"/>
        </w:rPr>
        <w:t>recovery</w:t>
      </w:r>
      <w:r w:rsidRPr="008C387B">
        <w:rPr>
          <w:sz w:val="24"/>
          <w:szCs w:val="24"/>
        </w:rPr>
        <w:t xml:space="preserve"> (</w:t>
      </w:r>
      <w:r w:rsidR="00831C03" w:rsidRPr="008C387B">
        <w:rPr>
          <w:sz w:val="24"/>
          <w:szCs w:val="24"/>
        </w:rPr>
        <w:t>f</w:t>
      </w:r>
      <w:r w:rsidRPr="008C387B">
        <w:rPr>
          <w:sz w:val="24"/>
          <w:szCs w:val="24"/>
        </w:rPr>
        <w:t>ig.</w:t>
      </w:r>
      <w:r w:rsidR="00E56801" w:rsidRPr="008C387B">
        <w:rPr>
          <w:sz w:val="24"/>
          <w:szCs w:val="24"/>
        </w:rPr>
        <w:t xml:space="preserve"> </w:t>
      </w:r>
      <w:r w:rsidRPr="008C387B">
        <w:rPr>
          <w:sz w:val="24"/>
          <w:szCs w:val="24"/>
        </w:rPr>
        <w:t>1</w:t>
      </w:r>
      <w:r w:rsidR="005A66DF" w:rsidRPr="008C387B">
        <w:rPr>
          <w:sz w:val="24"/>
          <w:szCs w:val="24"/>
        </w:rPr>
        <w:t>2</w:t>
      </w:r>
      <w:r w:rsidRPr="008C387B">
        <w:rPr>
          <w:sz w:val="24"/>
          <w:szCs w:val="24"/>
        </w:rPr>
        <w:t>)</w:t>
      </w:r>
      <w:r w:rsidR="007A3272" w:rsidRPr="008C387B">
        <w:rPr>
          <w:sz w:val="24"/>
          <w:szCs w:val="24"/>
        </w:rPr>
        <w:t>.</w:t>
      </w:r>
    </w:p>
    <w:p w:rsidR="00105231" w:rsidRPr="006530A7" w:rsidRDefault="00EB0143" w:rsidP="00097AFE">
      <w:pPr>
        <w:pStyle w:val="Titolotabella"/>
      </w:pPr>
      <w:r w:rsidRPr="006530A7">
        <w:t>Fig.1</w:t>
      </w:r>
      <w:r w:rsidR="005A66DF">
        <w:t>2</w:t>
      </w:r>
      <w:r w:rsidRPr="006530A7">
        <w:t xml:space="preserve"> – Andamento dei valori immobiliari in un selezionato campione di Paesi (var.% su anno precedente)</w:t>
      </w:r>
    </w:p>
    <w:p w:rsidR="00D14959" w:rsidRPr="006530A7" w:rsidRDefault="00D14959" w:rsidP="00D25DCD">
      <w:pPr>
        <w:jc w:val="center"/>
      </w:pPr>
      <w:r w:rsidRPr="006530A7">
        <w:rPr>
          <w:noProof/>
          <w:lang w:eastAsia="it-IT"/>
        </w:rPr>
        <w:drawing>
          <wp:inline distT="0" distB="0" distL="0" distR="0" wp14:anchorId="2904B2A9" wp14:editId="3446BA63">
            <wp:extent cx="5610225" cy="3223260"/>
            <wp:effectExtent l="0" t="0" r="9525" b="1524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4959" w:rsidRPr="006530A7" w:rsidRDefault="00105231" w:rsidP="00C61C61">
      <w:pPr>
        <w:pStyle w:val="StileFonte"/>
        <w:rPr>
          <w:sz w:val="20"/>
          <w:szCs w:val="20"/>
        </w:rPr>
      </w:pPr>
      <w:r w:rsidRPr="006530A7">
        <w:rPr>
          <w:sz w:val="20"/>
          <w:szCs w:val="20"/>
        </w:rPr>
        <w:t xml:space="preserve">Fonte: </w:t>
      </w:r>
      <w:r w:rsidR="003A56E7">
        <w:t>elaborazioni RUR su dati OCSE</w:t>
      </w:r>
      <w:r w:rsidRPr="006530A7">
        <w:rPr>
          <w:sz w:val="20"/>
          <w:szCs w:val="20"/>
        </w:rPr>
        <w:t>,</w:t>
      </w:r>
      <w:r w:rsidR="004A236F" w:rsidRPr="006530A7">
        <w:rPr>
          <w:sz w:val="20"/>
          <w:szCs w:val="20"/>
        </w:rPr>
        <w:t xml:space="preserve"> </w:t>
      </w:r>
      <w:r w:rsidRPr="006530A7">
        <w:rPr>
          <w:sz w:val="20"/>
          <w:szCs w:val="20"/>
        </w:rPr>
        <w:t>2016</w:t>
      </w:r>
    </w:p>
    <w:p w:rsidR="00105231" w:rsidRPr="00097AFE" w:rsidRDefault="00105231" w:rsidP="00F463C6">
      <w:pPr>
        <w:pStyle w:val="Titolotabella"/>
        <w:spacing w:before="120" w:after="120"/>
        <w:rPr>
          <w:b w:val="0"/>
          <w:bCs/>
          <w:iCs/>
          <w:sz w:val="24"/>
          <w:szCs w:val="24"/>
        </w:rPr>
      </w:pPr>
      <w:r w:rsidRPr="00097AFE">
        <w:rPr>
          <w:b w:val="0"/>
          <w:bCs/>
          <w:iCs/>
          <w:sz w:val="24"/>
          <w:szCs w:val="24"/>
        </w:rPr>
        <w:lastRenderedPageBreak/>
        <w:t xml:space="preserve">Infine, l’esercizio previsivo effettuato è congruente con le stime delle maggiori grandezze socio economiche, </w:t>
      </w:r>
      <w:r w:rsidR="00D74C84">
        <w:rPr>
          <w:b w:val="0"/>
          <w:bCs/>
          <w:iCs/>
          <w:sz w:val="24"/>
          <w:szCs w:val="24"/>
        </w:rPr>
        <w:t>i</w:t>
      </w:r>
      <w:r w:rsidRPr="00097AFE">
        <w:rPr>
          <w:b w:val="0"/>
          <w:bCs/>
          <w:iCs/>
          <w:sz w:val="24"/>
          <w:szCs w:val="24"/>
        </w:rPr>
        <w:t>ncidenti sul compar</w:t>
      </w:r>
      <w:r w:rsidR="007A3272" w:rsidRPr="00097AFE">
        <w:rPr>
          <w:b w:val="0"/>
          <w:bCs/>
          <w:iCs/>
          <w:sz w:val="24"/>
          <w:szCs w:val="24"/>
        </w:rPr>
        <w:t>t</w:t>
      </w:r>
      <w:r w:rsidRPr="00097AFE">
        <w:rPr>
          <w:b w:val="0"/>
          <w:bCs/>
          <w:iCs/>
          <w:sz w:val="24"/>
          <w:szCs w:val="24"/>
        </w:rPr>
        <w:t>o immobiliare, in particolare per l’andamento del Pil e del tasso d’inflazione.</w:t>
      </w:r>
    </w:p>
    <w:p w:rsidR="004D3A0C" w:rsidRPr="00097AFE" w:rsidRDefault="004205E4" w:rsidP="00F463C6">
      <w:pPr>
        <w:pStyle w:val="Titolotabella"/>
        <w:spacing w:before="120" w:after="120"/>
        <w:rPr>
          <w:b w:val="0"/>
          <w:bCs/>
          <w:iCs/>
          <w:sz w:val="24"/>
          <w:szCs w:val="24"/>
        </w:rPr>
      </w:pPr>
      <w:r w:rsidRPr="00097AFE">
        <w:rPr>
          <w:b w:val="0"/>
          <w:bCs/>
          <w:iCs/>
          <w:sz w:val="24"/>
          <w:szCs w:val="24"/>
        </w:rPr>
        <w:t xml:space="preserve">Per quanto riguarda il </w:t>
      </w:r>
      <w:r w:rsidRPr="00DA783B">
        <w:rPr>
          <w:bCs/>
          <w:iCs/>
          <w:sz w:val="24"/>
          <w:szCs w:val="24"/>
        </w:rPr>
        <w:t>tasso d’inflazione</w:t>
      </w:r>
      <w:r w:rsidRPr="00097AFE">
        <w:rPr>
          <w:b w:val="0"/>
          <w:bCs/>
          <w:iCs/>
          <w:sz w:val="24"/>
          <w:szCs w:val="24"/>
        </w:rPr>
        <w:t xml:space="preserve"> la Commissione Europea al gennaio 2016 stima al 2017 un valore </w:t>
      </w:r>
      <w:r w:rsidRPr="00AA34A6">
        <w:rPr>
          <w:b w:val="0"/>
          <w:bCs/>
          <w:iCs/>
          <w:sz w:val="24"/>
          <w:szCs w:val="24"/>
        </w:rPr>
        <w:t>dell’1,</w:t>
      </w:r>
      <w:r w:rsidR="00471699" w:rsidRPr="00AA34A6">
        <w:rPr>
          <w:b w:val="0"/>
          <w:bCs/>
          <w:iCs/>
          <w:sz w:val="24"/>
          <w:szCs w:val="24"/>
        </w:rPr>
        <w:t>8</w:t>
      </w:r>
      <w:r w:rsidRPr="00AA34A6">
        <w:rPr>
          <w:b w:val="0"/>
          <w:bCs/>
          <w:iCs/>
          <w:sz w:val="24"/>
          <w:szCs w:val="24"/>
        </w:rPr>
        <w:t>%</w:t>
      </w:r>
      <w:r w:rsidRPr="00097AFE">
        <w:rPr>
          <w:b w:val="0"/>
          <w:bCs/>
          <w:iCs/>
          <w:sz w:val="24"/>
          <w:szCs w:val="24"/>
        </w:rPr>
        <w:t xml:space="preserve"> con una possibile tendenza per il 2018 ad attestarsi attorno al 2%. Altrettanto vale per</w:t>
      </w:r>
      <w:r w:rsidR="000F2C6A">
        <w:rPr>
          <w:b w:val="0"/>
          <w:bCs/>
          <w:iCs/>
          <w:sz w:val="24"/>
          <w:szCs w:val="24"/>
        </w:rPr>
        <w:t xml:space="preserve"> le valutazioni dei principali C</w:t>
      </w:r>
      <w:r w:rsidRPr="00097AFE">
        <w:rPr>
          <w:b w:val="0"/>
          <w:bCs/>
          <w:iCs/>
          <w:sz w:val="24"/>
          <w:szCs w:val="24"/>
        </w:rPr>
        <w:t xml:space="preserve">entri </w:t>
      </w:r>
      <w:r w:rsidR="000F2C6A">
        <w:rPr>
          <w:b w:val="0"/>
          <w:bCs/>
          <w:iCs/>
          <w:sz w:val="24"/>
          <w:szCs w:val="24"/>
        </w:rPr>
        <w:t xml:space="preserve">di ricerca </w:t>
      </w:r>
      <w:r w:rsidRPr="00097AFE">
        <w:rPr>
          <w:b w:val="0"/>
          <w:bCs/>
          <w:iCs/>
          <w:sz w:val="24"/>
          <w:szCs w:val="24"/>
        </w:rPr>
        <w:t>pubblici e privati. Nel prossimo triennio, quindi, l’inflazione dovrebbe mantenersi piuttosto “fredda”. E certo un tale riferimento non potrà che influenzare anch</w:t>
      </w:r>
      <w:r w:rsidR="007A3272" w:rsidRPr="00097AFE">
        <w:rPr>
          <w:b w:val="0"/>
          <w:bCs/>
          <w:iCs/>
          <w:sz w:val="24"/>
          <w:szCs w:val="24"/>
        </w:rPr>
        <w:t xml:space="preserve">e i prezzi reali degli immobili </w:t>
      </w:r>
      <w:r w:rsidR="00280D6F" w:rsidRPr="008C387B">
        <w:rPr>
          <w:b w:val="0"/>
          <w:bCs/>
          <w:iCs/>
          <w:sz w:val="24"/>
          <w:szCs w:val="24"/>
        </w:rPr>
        <w:t>(tab.</w:t>
      </w:r>
      <w:r w:rsidR="00E56801" w:rsidRPr="008C387B">
        <w:rPr>
          <w:b w:val="0"/>
          <w:bCs/>
          <w:iCs/>
          <w:sz w:val="24"/>
          <w:szCs w:val="24"/>
        </w:rPr>
        <w:t xml:space="preserve"> </w:t>
      </w:r>
      <w:r w:rsidR="00280D6F" w:rsidRPr="008C387B">
        <w:rPr>
          <w:b w:val="0"/>
          <w:bCs/>
          <w:iCs/>
          <w:sz w:val="24"/>
          <w:szCs w:val="24"/>
        </w:rPr>
        <w:t>1)</w:t>
      </w:r>
      <w:r w:rsidR="007A3272" w:rsidRPr="008C387B">
        <w:rPr>
          <w:b w:val="0"/>
          <w:bCs/>
          <w:iCs/>
          <w:sz w:val="24"/>
          <w:szCs w:val="24"/>
        </w:rPr>
        <w:t>.</w:t>
      </w:r>
    </w:p>
    <w:p w:rsidR="007F3DA7" w:rsidRPr="006530A7" w:rsidRDefault="00E57092" w:rsidP="00097AFE">
      <w:pPr>
        <w:pStyle w:val="Titolotabella"/>
      </w:pPr>
      <w:r w:rsidRPr="006530A7">
        <w:t>Tab.1 – Principali previsioni del Tasso di Inflazione</w:t>
      </w:r>
      <w:r w:rsidR="003853B4" w:rsidRPr="006530A7">
        <w:t xml:space="preserve"> (</w:t>
      </w:r>
      <w:r w:rsidR="00CE2F3E" w:rsidRPr="006530A7">
        <w:t>v</w:t>
      </w:r>
      <w:r w:rsidR="003853B4" w:rsidRPr="006530A7">
        <w:t>ar.</w:t>
      </w:r>
      <w:r w:rsidR="00CE2F3E" w:rsidRPr="006530A7">
        <w:t xml:space="preserve"> </w:t>
      </w:r>
      <w:r w:rsidR="003853B4" w:rsidRPr="006530A7">
        <w:t>% su anno precedente)</w:t>
      </w:r>
    </w:p>
    <w:tbl>
      <w:tblPr>
        <w:tblStyle w:val="Sfondomedio1-Colore1"/>
        <w:tblW w:w="0" w:type="auto"/>
        <w:tblInd w:w="-10" w:type="dxa"/>
        <w:tblLook w:val="04A0" w:firstRow="1" w:lastRow="0" w:firstColumn="1" w:lastColumn="0" w:noHBand="0" w:noVBand="1"/>
      </w:tblPr>
      <w:tblGrid>
        <w:gridCol w:w="2522"/>
        <w:gridCol w:w="1118"/>
        <w:gridCol w:w="1227"/>
        <w:gridCol w:w="1118"/>
        <w:gridCol w:w="1255"/>
        <w:gridCol w:w="1254"/>
      </w:tblGrid>
      <w:tr w:rsidR="007F3DA7" w:rsidRPr="006530A7" w:rsidTr="00FA5E7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22" w:type="dxa"/>
          </w:tcPr>
          <w:p w:rsidR="007F3DA7" w:rsidRPr="007C7380" w:rsidRDefault="00AB0904" w:rsidP="004E1F0B">
            <w:r w:rsidRPr="007C7380">
              <w:t>Fonte / Anni</w:t>
            </w:r>
          </w:p>
        </w:tc>
        <w:tc>
          <w:tcPr>
            <w:tcW w:w="1118" w:type="dxa"/>
          </w:tcPr>
          <w:p w:rsidR="007F3DA7" w:rsidRPr="007C7380" w:rsidRDefault="00AB0904" w:rsidP="004E1F0B">
            <w:pPr>
              <w:jc w:val="center"/>
              <w:cnfStyle w:val="100000000000" w:firstRow="1" w:lastRow="0" w:firstColumn="0" w:lastColumn="0" w:oddVBand="0" w:evenVBand="0" w:oddHBand="0" w:evenHBand="0" w:firstRowFirstColumn="0" w:firstRowLastColumn="0" w:lastRowFirstColumn="0" w:lastRowLastColumn="0"/>
            </w:pPr>
            <w:r w:rsidRPr="007C7380">
              <w:t>2014</w:t>
            </w:r>
          </w:p>
        </w:tc>
        <w:tc>
          <w:tcPr>
            <w:tcW w:w="1227" w:type="dxa"/>
          </w:tcPr>
          <w:p w:rsidR="007F3DA7" w:rsidRPr="007C7380" w:rsidRDefault="00AB0904" w:rsidP="004E1F0B">
            <w:pPr>
              <w:jc w:val="center"/>
              <w:cnfStyle w:val="100000000000" w:firstRow="1" w:lastRow="0" w:firstColumn="0" w:lastColumn="0" w:oddVBand="0" w:evenVBand="0" w:oddHBand="0" w:evenHBand="0" w:firstRowFirstColumn="0" w:firstRowLastColumn="0" w:lastRowFirstColumn="0" w:lastRowLastColumn="0"/>
            </w:pPr>
            <w:r w:rsidRPr="007C7380">
              <w:t>2015</w:t>
            </w:r>
          </w:p>
        </w:tc>
        <w:tc>
          <w:tcPr>
            <w:tcW w:w="1118" w:type="dxa"/>
          </w:tcPr>
          <w:p w:rsidR="007F3DA7" w:rsidRPr="007C7380" w:rsidRDefault="00AB0904" w:rsidP="004E1F0B">
            <w:pPr>
              <w:jc w:val="center"/>
              <w:cnfStyle w:val="100000000000" w:firstRow="1" w:lastRow="0" w:firstColumn="0" w:lastColumn="0" w:oddVBand="0" w:evenVBand="0" w:oddHBand="0" w:evenHBand="0" w:firstRowFirstColumn="0" w:firstRowLastColumn="0" w:lastRowFirstColumn="0" w:lastRowLastColumn="0"/>
            </w:pPr>
            <w:r w:rsidRPr="007C7380">
              <w:t>2016</w:t>
            </w:r>
          </w:p>
        </w:tc>
        <w:tc>
          <w:tcPr>
            <w:tcW w:w="1255" w:type="dxa"/>
          </w:tcPr>
          <w:p w:rsidR="007F3DA7" w:rsidRPr="007C7380" w:rsidRDefault="00AB0904" w:rsidP="004E1F0B">
            <w:pPr>
              <w:jc w:val="center"/>
              <w:cnfStyle w:val="100000000000" w:firstRow="1" w:lastRow="0" w:firstColumn="0" w:lastColumn="0" w:oddVBand="0" w:evenVBand="0" w:oddHBand="0" w:evenHBand="0" w:firstRowFirstColumn="0" w:firstRowLastColumn="0" w:lastRowFirstColumn="0" w:lastRowLastColumn="0"/>
            </w:pPr>
            <w:r w:rsidRPr="007C7380">
              <w:t>2017</w:t>
            </w:r>
          </w:p>
        </w:tc>
        <w:tc>
          <w:tcPr>
            <w:tcW w:w="1254" w:type="dxa"/>
          </w:tcPr>
          <w:p w:rsidR="007F3DA7" w:rsidRPr="007C7380" w:rsidRDefault="00AB0904" w:rsidP="004E1F0B">
            <w:pPr>
              <w:jc w:val="center"/>
              <w:cnfStyle w:val="100000000000" w:firstRow="1" w:lastRow="0" w:firstColumn="0" w:lastColumn="0" w:oddVBand="0" w:evenVBand="0" w:oddHBand="0" w:evenHBand="0" w:firstRowFirstColumn="0" w:firstRowLastColumn="0" w:lastRowFirstColumn="0" w:lastRowLastColumn="0"/>
            </w:pPr>
            <w:r w:rsidRPr="007C7380">
              <w:t>2018</w:t>
            </w:r>
          </w:p>
        </w:tc>
      </w:tr>
      <w:tr w:rsidR="00AB0904" w:rsidRPr="006530A7" w:rsidTr="00FA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7F3DA7" w:rsidRPr="00873DF1" w:rsidRDefault="00F020C2" w:rsidP="007F3DA7">
            <w:pPr>
              <w:jc w:val="both"/>
              <w:rPr>
                <w:b w:val="0"/>
              </w:rPr>
            </w:pPr>
            <w:r>
              <w:rPr>
                <w:b w:val="0"/>
              </w:rPr>
              <w:t xml:space="preserve">Nota Integrativa </w:t>
            </w:r>
            <w:r w:rsidR="007F3DA7" w:rsidRPr="00873DF1">
              <w:rPr>
                <w:b w:val="0"/>
              </w:rPr>
              <w:t>DEF</w:t>
            </w:r>
          </w:p>
        </w:tc>
        <w:tc>
          <w:tcPr>
            <w:tcW w:w="1118" w:type="dxa"/>
          </w:tcPr>
          <w:p w:rsidR="007F3DA7" w:rsidRPr="007C7380" w:rsidRDefault="007F3DA7" w:rsidP="004A236F">
            <w:pPr>
              <w:jc w:val="center"/>
              <w:cnfStyle w:val="000000100000" w:firstRow="0" w:lastRow="0" w:firstColumn="0" w:lastColumn="0" w:oddVBand="0" w:evenVBand="0" w:oddHBand="1" w:evenHBand="0" w:firstRowFirstColumn="0" w:firstRowLastColumn="0" w:lastRowFirstColumn="0" w:lastRowLastColumn="0"/>
            </w:pPr>
            <w:r w:rsidRPr="007C7380">
              <w:t>0,2</w:t>
            </w:r>
          </w:p>
        </w:tc>
        <w:tc>
          <w:tcPr>
            <w:tcW w:w="1227" w:type="dxa"/>
          </w:tcPr>
          <w:p w:rsidR="007F3DA7" w:rsidRPr="007C7380" w:rsidRDefault="007F3DA7" w:rsidP="004A236F">
            <w:pPr>
              <w:jc w:val="center"/>
              <w:cnfStyle w:val="000000100000" w:firstRow="0" w:lastRow="0" w:firstColumn="0" w:lastColumn="0" w:oddVBand="0" w:evenVBand="0" w:oddHBand="1" w:evenHBand="0" w:firstRowFirstColumn="0" w:firstRowLastColumn="0" w:lastRowFirstColumn="0" w:lastRowLastColumn="0"/>
            </w:pPr>
            <w:r w:rsidRPr="007C7380">
              <w:t>0,3</w:t>
            </w:r>
          </w:p>
        </w:tc>
        <w:tc>
          <w:tcPr>
            <w:tcW w:w="1118" w:type="dxa"/>
          </w:tcPr>
          <w:p w:rsidR="007F3DA7" w:rsidRPr="007C7380" w:rsidRDefault="007F3DA7" w:rsidP="004A236F">
            <w:pPr>
              <w:jc w:val="center"/>
              <w:cnfStyle w:val="000000100000" w:firstRow="0" w:lastRow="0" w:firstColumn="0" w:lastColumn="0" w:oddVBand="0" w:evenVBand="0" w:oddHBand="1" w:evenHBand="0" w:firstRowFirstColumn="0" w:firstRowLastColumn="0" w:lastRowFirstColumn="0" w:lastRowLastColumn="0"/>
            </w:pPr>
            <w:r w:rsidRPr="007C7380">
              <w:t>1,6</w:t>
            </w:r>
          </w:p>
        </w:tc>
        <w:tc>
          <w:tcPr>
            <w:tcW w:w="1255" w:type="dxa"/>
          </w:tcPr>
          <w:p w:rsidR="007F3DA7" w:rsidRPr="007C7380" w:rsidRDefault="007F3DA7" w:rsidP="004A236F">
            <w:pPr>
              <w:jc w:val="center"/>
              <w:cnfStyle w:val="000000100000" w:firstRow="0" w:lastRow="0" w:firstColumn="0" w:lastColumn="0" w:oddVBand="0" w:evenVBand="0" w:oddHBand="1" w:evenHBand="0" w:firstRowFirstColumn="0" w:firstRowLastColumn="0" w:lastRowFirstColumn="0" w:lastRowLastColumn="0"/>
            </w:pPr>
            <w:r w:rsidRPr="007C7380">
              <w:t>1,8</w:t>
            </w:r>
          </w:p>
        </w:tc>
        <w:tc>
          <w:tcPr>
            <w:tcW w:w="1254" w:type="dxa"/>
          </w:tcPr>
          <w:p w:rsidR="007F3DA7" w:rsidRPr="007C7380" w:rsidRDefault="007F3DA7" w:rsidP="004A236F">
            <w:pPr>
              <w:jc w:val="center"/>
              <w:cnfStyle w:val="000000100000" w:firstRow="0" w:lastRow="0" w:firstColumn="0" w:lastColumn="0" w:oddVBand="0" w:evenVBand="0" w:oddHBand="1" w:evenHBand="0" w:firstRowFirstColumn="0" w:firstRowLastColumn="0" w:lastRowFirstColumn="0" w:lastRowLastColumn="0"/>
            </w:pPr>
            <w:r w:rsidRPr="007C7380">
              <w:t>1,7</w:t>
            </w:r>
          </w:p>
        </w:tc>
      </w:tr>
      <w:tr w:rsidR="007F3DA7" w:rsidRPr="006530A7" w:rsidTr="00FA5E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7F3DA7" w:rsidRPr="00873DF1" w:rsidRDefault="007F3DA7" w:rsidP="00CA3F79">
            <w:pPr>
              <w:jc w:val="both"/>
              <w:rPr>
                <w:b w:val="0"/>
              </w:rPr>
            </w:pPr>
            <w:r w:rsidRPr="00873DF1">
              <w:rPr>
                <w:b w:val="0"/>
              </w:rPr>
              <w:t>ISTAT</w:t>
            </w:r>
          </w:p>
        </w:tc>
        <w:tc>
          <w:tcPr>
            <w:tcW w:w="1118" w:type="dxa"/>
          </w:tcPr>
          <w:p w:rsidR="007F3DA7" w:rsidRPr="007C7380" w:rsidRDefault="007F3DA7" w:rsidP="004A236F">
            <w:pPr>
              <w:jc w:val="center"/>
              <w:cnfStyle w:val="000000010000" w:firstRow="0" w:lastRow="0" w:firstColumn="0" w:lastColumn="0" w:oddVBand="0" w:evenVBand="0" w:oddHBand="0" w:evenHBand="1" w:firstRowFirstColumn="0" w:firstRowLastColumn="0" w:lastRowFirstColumn="0" w:lastRowLastColumn="0"/>
            </w:pPr>
            <w:r w:rsidRPr="007C7380">
              <w:t>0,3</w:t>
            </w:r>
          </w:p>
        </w:tc>
        <w:tc>
          <w:tcPr>
            <w:tcW w:w="1227" w:type="dxa"/>
          </w:tcPr>
          <w:p w:rsidR="007F3DA7" w:rsidRPr="007C7380" w:rsidRDefault="007F3DA7" w:rsidP="004A236F">
            <w:pPr>
              <w:jc w:val="center"/>
              <w:cnfStyle w:val="000000010000" w:firstRow="0" w:lastRow="0" w:firstColumn="0" w:lastColumn="0" w:oddVBand="0" w:evenVBand="0" w:oddHBand="0" w:evenHBand="1" w:firstRowFirstColumn="0" w:firstRowLastColumn="0" w:lastRowFirstColumn="0" w:lastRowLastColumn="0"/>
            </w:pPr>
            <w:r w:rsidRPr="007C7380">
              <w:t>0,1</w:t>
            </w:r>
          </w:p>
        </w:tc>
        <w:tc>
          <w:tcPr>
            <w:tcW w:w="1118" w:type="dxa"/>
          </w:tcPr>
          <w:p w:rsidR="007F3DA7" w:rsidRPr="007C7380" w:rsidRDefault="007F3DA7" w:rsidP="004A236F">
            <w:pPr>
              <w:jc w:val="center"/>
              <w:cnfStyle w:val="000000010000" w:firstRow="0" w:lastRow="0" w:firstColumn="0" w:lastColumn="0" w:oddVBand="0" w:evenVBand="0" w:oddHBand="0" w:evenHBand="1" w:firstRowFirstColumn="0" w:firstRowLastColumn="0" w:lastRowFirstColumn="0" w:lastRowLastColumn="0"/>
            </w:pPr>
            <w:r w:rsidRPr="007C7380">
              <w:t>1,0</w:t>
            </w:r>
          </w:p>
        </w:tc>
        <w:tc>
          <w:tcPr>
            <w:tcW w:w="1255" w:type="dxa"/>
          </w:tcPr>
          <w:p w:rsidR="007F3DA7" w:rsidRPr="007C7380" w:rsidRDefault="007F3DA7" w:rsidP="004A236F">
            <w:pPr>
              <w:jc w:val="center"/>
              <w:cnfStyle w:val="000000010000" w:firstRow="0" w:lastRow="0" w:firstColumn="0" w:lastColumn="0" w:oddVBand="0" w:evenVBand="0" w:oddHBand="0" w:evenHBand="1" w:firstRowFirstColumn="0" w:firstRowLastColumn="0" w:lastRowFirstColumn="0" w:lastRowLastColumn="0"/>
            </w:pPr>
            <w:r w:rsidRPr="007C7380">
              <w:t>1,7</w:t>
            </w:r>
          </w:p>
        </w:tc>
        <w:tc>
          <w:tcPr>
            <w:tcW w:w="1254" w:type="dxa"/>
          </w:tcPr>
          <w:p w:rsidR="007F3DA7" w:rsidRPr="007C7380" w:rsidRDefault="004A236F" w:rsidP="004A236F">
            <w:pPr>
              <w:jc w:val="center"/>
              <w:cnfStyle w:val="000000010000" w:firstRow="0" w:lastRow="0" w:firstColumn="0" w:lastColumn="0" w:oddVBand="0" w:evenVBand="0" w:oddHBand="0" w:evenHBand="1" w:firstRowFirstColumn="0" w:firstRowLastColumn="0" w:lastRowFirstColumn="0" w:lastRowLastColumn="0"/>
            </w:pPr>
            <w:r w:rsidRPr="007C7380">
              <w:t>-</w:t>
            </w:r>
          </w:p>
        </w:tc>
      </w:tr>
      <w:tr w:rsidR="00AB0904" w:rsidRPr="006530A7" w:rsidTr="00FA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7F3DA7" w:rsidRPr="00873DF1" w:rsidRDefault="007F3DA7" w:rsidP="007F3DA7">
            <w:pPr>
              <w:jc w:val="both"/>
              <w:rPr>
                <w:b w:val="0"/>
              </w:rPr>
            </w:pPr>
            <w:r w:rsidRPr="00873DF1">
              <w:rPr>
                <w:b w:val="0"/>
              </w:rPr>
              <w:t>Commissione Europea</w:t>
            </w:r>
          </w:p>
        </w:tc>
        <w:tc>
          <w:tcPr>
            <w:tcW w:w="1118" w:type="dxa"/>
          </w:tcPr>
          <w:p w:rsidR="007F3DA7" w:rsidRPr="007C7380" w:rsidRDefault="007F3DA7" w:rsidP="004A236F">
            <w:pPr>
              <w:jc w:val="center"/>
              <w:cnfStyle w:val="000000100000" w:firstRow="0" w:lastRow="0" w:firstColumn="0" w:lastColumn="0" w:oddVBand="0" w:evenVBand="0" w:oddHBand="1" w:evenHBand="0" w:firstRowFirstColumn="0" w:firstRowLastColumn="0" w:lastRowFirstColumn="0" w:lastRowLastColumn="0"/>
            </w:pPr>
            <w:r w:rsidRPr="007C7380">
              <w:t>0,2</w:t>
            </w:r>
          </w:p>
        </w:tc>
        <w:tc>
          <w:tcPr>
            <w:tcW w:w="1227" w:type="dxa"/>
          </w:tcPr>
          <w:p w:rsidR="007F3DA7" w:rsidRPr="007C7380" w:rsidRDefault="007F3DA7" w:rsidP="004A236F">
            <w:pPr>
              <w:jc w:val="center"/>
              <w:cnfStyle w:val="000000100000" w:firstRow="0" w:lastRow="0" w:firstColumn="0" w:lastColumn="0" w:oddVBand="0" w:evenVBand="0" w:oddHBand="1" w:evenHBand="0" w:firstRowFirstColumn="0" w:firstRowLastColumn="0" w:lastRowFirstColumn="0" w:lastRowLastColumn="0"/>
            </w:pPr>
            <w:r w:rsidRPr="007C7380">
              <w:t>0,1</w:t>
            </w:r>
          </w:p>
        </w:tc>
        <w:tc>
          <w:tcPr>
            <w:tcW w:w="1118" w:type="dxa"/>
          </w:tcPr>
          <w:p w:rsidR="007F3DA7" w:rsidRPr="007C7380" w:rsidRDefault="007F3DA7" w:rsidP="004A236F">
            <w:pPr>
              <w:jc w:val="center"/>
              <w:cnfStyle w:val="000000100000" w:firstRow="0" w:lastRow="0" w:firstColumn="0" w:lastColumn="0" w:oddVBand="0" w:evenVBand="0" w:oddHBand="1" w:evenHBand="0" w:firstRowFirstColumn="0" w:firstRowLastColumn="0" w:lastRowFirstColumn="0" w:lastRowLastColumn="0"/>
            </w:pPr>
            <w:r w:rsidRPr="007C7380">
              <w:t>0,3</w:t>
            </w:r>
          </w:p>
        </w:tc>
        <w:tc>
          <w:tcPr>
            <w:tcW w:w="1255" w:type="dxa"/>
          </w:tcPr>
          <w:p w:rsidR="007F3DA7" w:rsidRPr="007C7380" w:rsidRDefault="007F3DA7" w:rsidP="004A236F">
            <w:pPr>
              <w:jc w:val="center"/>
              <w:cnfStyle w:val="000000100000" w:firstRow="0" w:lastRow="0" w:firstColumn="0" w:lastColumn="0" w:oddVBand="0" w:evenVBand="0" w:oddHBand="1" w:evenHBand="0" w:firstRowFirstColumn="0" w:firstRowLastColumn="0" w:lastRowFirstColumn="0" w:lastRowLastColumn="0"/>
            </w:pPr>
            <w:r w:rsidRPr="007C7380">
              <w:t>1,8</w:t>
            </w:r>
          </w:p>
        </w:tc>
        <w:tc>
          <w:tcPr>
            <w:tcW w:w="1254" w:type="dxa"/>
          </w:tcPr>
          <w:p w:rsidR="007F3DA7" w:rsidRPr="007C7380" w:rsidRDefault="004A236F" w:rsidP="004A236F">
            <w:pPr>
              <w:jc w:val="center"/>
              <w:cnfStyle w:val="000000100000" w:firstRow="0" w:lastRow="0" w:firstColumn="0" w:lastColumn="0" w:oddVBand="0" w:evenVBand="0" w:oddHBand="1" w:evenHBand="0" w:firstRowFirstColumn="0" w:firstRowLastColumn="0" w:lastRowFirstColumn="0" w:lastRowLastColumn="0"/>
            </w:pPr>
            <w:r w:rsidRPr="007C7380">
              <w:t>-</w:t>
            </w:r>
          </w:p>
        </w:tc>
      </w:tr>
      <w:tr w:rsidR="007F3DA7" w:rsidRPr="006530A7" w:rsidTr="00FA5E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7F3DA7" w:rsidRPr="00873DF1" w:rsidRDefault="007F3DA7" w:rsidP="00CA3F79">
            <w:pPr>
              <w:jc w:val="both"/>
              <w:rPr>
                <w:b w:val="0"/>
              </w:rPr>
            </w:pPr>
            <w:r w:rsidRPr="00873DF1">
              <w:rPr>
                <w:b w:val="0"/>
              </w:rPr>
              <w:t>OECD</w:t>
            </w:r>
          </w:p>
        </w:tc>
        <w:tc>
          <w:tcPr>
            <w:tcW w:w="1118" w:type="dxa"/>
          </w:tcPr>
          <w:p w:rsidR="007F3DA7" w:rsidRPr="007C7380" w:rsidRDefault="007F3DA7" w:rsidP="004A236F">
            <w:pPr>
              <w:jc w:val="center"/>
              <w:cnfStyle w:val="000000010000" w:firstRow="0" w:lastRow="0" w:firstColumn="0" w:lastColumn="0" w:oddVBand="0" w:evenVBand="0" w:oddHBand="0" w:evenHBand="1" w:firstRowFirstColumn="0" w:firstRowLastColumn="0" w:lastRowFirstColumn="0" w:lastRowLastColumn="0"/>
            </w:pPr>
            <w:r w:rsidRPr="007C7380">
              <w:t>0,2</w:t>
            </w:r>
          </w:p>
        </w:tc>
        <w:tc>
          <w:tcPr>
            <w:tcW w:w="1227" w:type="dxa"/>
          </w:tcPr>
          <w:p w:rsidR="007F3DA7" w:rsidRPr="007C7380" w:rsidRDefault="007F3DA7" w:rsidP="004A236F">
            <w:pPr>
              <w:jc w:val="center"/>
              <w:cnfStyle w:val="000000010000" w:firstRow="0" w:lastRow="0" w:firstColumn="0" w:lastColumn="0" w:oddVBand="0" w:evenVBand="0" w:oddHBand="0" w:evenHBand="1" w:firstRowFirstColumn="0" w:firstRowLastColumn="0" w:lastRowFirstColumn="0" w:lastRowLastColumn="0"/>
            </w:pPr>
            <w:r w:rsidRPr="007C7380">
              <w:t>0,1</w:t>
            </w:r>
          </w:p>
        </w:tc>
        <w:tc>
          <w:tcPr>
            <w:tcW w:w="1118" w:type="dxa"/>
          </w:tcPr>
          <w:p w:rsidR="007F3DA7" w:rsidRPr="007C7380" w:rsidRDefault="007F3DA7" w:rsidP="004A236F">
            <w:pPr>
              <w:jc w:val="center"/>
              <w:cnfStyle w:val="000000010000" w:firstRow="0" w:lastRow="0" w:firstColumn="0" w:lastColumn="0" w:oddVBand="0" w:evenVBand="0" w:oddHBand="0" w:evenHBand="1" w:firstRowFirstColumn="0" w:firstRowLastColumn="0" w:lastRowFirstColumn="0" w:lastRowLastColumn="0"/>
            </w:pPr>
            <w:r w:rsidRPr="007C7380">
              <w:t>0,8</w:t>
            </w:r>
          </w:p>
        </w:tc>
        <w:tc>
          <w:tcPr>
            <w:tcW w:w="1255" w:type="dxa"/>
          </w:tcPr>
          <w:p w:rsidR="007F3DA7" w:rsidRPr="007C7380" w:rsidRDefault="007F3DA7" w:rsidP="004A236F">
            <w:pPr>
              <w:jc w:val="center"/>
              <w:cnfStyle w:val="000000010000" w:firstRow="0" w:lastRow="0" w:firstColumn="0" w:lastColumn="0" w:oddVBand="0" w:evenVBand="0" w:oddHBand="0" w:evenHBand="1" w:firstRowFirstColumn="0" w:firstRowLastColumn="0" w:lastRowFirstColumn="0" w:lastRowLastColumn="0"/>
            </w:pPr>
            <w:r w:rsidRPr="007C7380">
              <w:t>1,1</w:t>
            </w:r>
          </w:p>
        </w:tc>
        <w:tc>
          <w:tcPr>
            <w:tcW w:w="1254" w:type="dxa"/>
          </w:tcPr>
          <w:p w:rsidR="007F3DA7" w:rsidRPr="007C7380" w:rsidRDefault="004A236F" w:rsidP="004A236F">
            <w:pPr>
              <w:jc w:val="center"/>
              <w:cnfStyle w:val="000000010000" w:firstRow="0" w:lastRow="0" w:firstColumn="0" w:lastColumn="0" w:oddVBand="0" w:evenVBand="0" w:oddHBand="0" w:evenHBand="1" w:firstRowFirstColumn="0" w:firstRowLastColumn="0" w:lastRowFirstColumn="0" w:lastRowLastColumn="0"/>
            </w:pPr>
            <w:r w:rsidRPr="007C7380">
              <w:t>-</w:t>
            </w:r>
          </w:p>
        </w:tc>
      </w:tr>
      <w:tr w:rsidR="00AB0904" w:rsidRPr="006530A7" w:rsidTr="00FA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7F3DA7" w:rsidRPr="00873DF1" w:rsidRDefault="00E57092" w:rsidP="00CA3F79">
            <w:pPr>
              <w:jc w:val="both"/>
              <w:rPr>
                <w:b w:val="0"/>
              </w:rPr>
            </w:pPr>
            <w:r w:rsidRPr="00873DF1">
              <w:rPr>
                <w:b w:val="0"/>
              </w:rPr>
              <w:t>Oxford Economics</w:t>
            </w:r>
          </w:p>
        </w:tc>
        <w:tc>
          <w:tcPr>
            <w:tcW w:w="1118" w:type="dxa"/>
          </w:tcPr>
          <w:p w:rsidR="007F3DA7" w:rsidRPr="007C7380" w:rsidRDefault="00E57092" w:rsidP="004A236F">
            <w:pPr>
              <w:jc w:val="center"/>
              <w:cnfStyle w:val="000000100000" w:firstRow="0" w:lastRow="0" w:firstColumn="0" w:lastColumn="0" w:oddVBand="0" w:evenVBand="0" w:oddHBand="1" w:evenHBand="0" w:firstRowFirstColumn="0" w:firstRowLastColumn="0" w:lastRowFirstColumn="0" w:lastRowLastColumn="0"/>
            </w:pPr>
            <w:r w:rsidRPr="007C7380">
              <w:t>0,2</w:t>
            </w:r>
          </w:p>
        </w:tc>
        <w:tc>
          <w:tcPr>
            <w:tcW w:w="1227" w:type="dxa"/>
          </w:tcPr>
          <w:p w:rsidR="007F3DA7" w:rsidRPr="007C7380" w:rsidRDefault="00E57092" w:rsidP="004A236F">
            <w:pPr>
              <w:jc w:val="center"/>
              <w:cnfStyle w:val="000000100000" w:firstRow="0" w:lastRow="0" w:firstColumn="0" w:lastColumn="0" w:oddVBand="0" w:evenVBand="0" w:oddHBand="1" w:evenHBand="0" w:firstRowFirstColumn="0" w:firstRowLastColumn="0" w:lastRowFirstColumn="0" w:lastRowLastColumn="0"/>
            </w:pPr>
            <w:r w:rsidRPr="007C7380">
              <w:t>0,1</w:t>
            </w:r>
          </w:p>
        </w:tc>
        <w:tc>
          <w:tcPr>
            <w:tcW w:w="1118" w:type="dxa"/>
          </w:tcPr>
          <w:p w:rsidR="007F3DA7" w:rsidRPr="007C7380" w:rsidRDefault="00E57092" w:rsidP="004A236F">
            <w:pPr>
              <w:jc w:val="center"/>
              <w:cnfStyle w:val="000000100000" w:firstRow="0" w:lastRow="0" w:firstColumn="0" w:lastColumn="0" w:oddVBand="0" w:evenVBand="0" w:oddHBand="1" w:evenHBand="0" w:firstRowFirstColumn="0" w:firstRowLastColumn="0" w:lastRowFirstColumn="0" w:lastRowLastColumn="0"/>
            </w:pPr>
            <w:r w:rsidRPr="007C7380">
              <w:t>1,1</w:t>
            </w:r>
          </w:p>
        </w:tc>
        <w:tc>
          <w:tcPr>
            <w:tcW w:w="1255" w:type="dxa"/>
          </w:tcPr>
          <w:p w:rsidR="007F3DA7" w:rsidRPr="007C7380" w:rsidRDefault="00E57092" w:rsidP="004A236F">
            <w:pPr>
              <w:jc w:val="center"/>
              <w:cnfStyle w:val="000000100000" w:firstRow="0" w:lastRow="0" w:firstColumn="0" w:lastColumn="0" w:oddVBand="0" w:evenVBand="0" w:oddHBand="1" w:evenHBand="0" w:firstRowFirstColumn="0" w:firstRowLastColumn="0" w:lastRowFirstColumn="0" w:lastRowLastColumn="0"/>
            </w:pPr>
            <w:r w:rsidRPr="007C7380">
              <w:t>1,1</w:t>
            </w:r>
          </w:p>
        </w:tc>
        <w:tc>
          <w:tcPr>
            <w:tcW w:w="1254" w:type="dxa"/>
          </w:tcPr>
          <w:p w:rsidR="007F3DA7" w:rsidRPr="007C7380" w:rsidRDefault="00E57092" w:rsidP="004A236F">
            <w:pPr>
              <w:jc w:val="center"/>
              <w:cnfStyle w:val="000000100000" w:firstRow="0" w:lastRow="0" w:firstColumn="0" w:lastColumn="0" w:oddVBand="0" w:evenVBand="0" w:oddHBand="1" w:evenHBand="0" w:firstRowFirstColumn="0" w:firstRowLastColumn="0" w:lastRowFirstColumn="0" w:lastRowLastColumn="0"/>
            </w:pPr>
            <w:r w:rsidRPr="007C7380">
              <w:t>1,4</w:t>
            </w:r>
          </w:p>
        </w:tc>
      </w:tr>
    </w:tbl>
    <w:p w:rsidR="00DC7BB1" w:rsidRPr="00F54056" w:rsidRDefault="003A56E7" w:rsidP="00C61C61">
      <w:pPr>
        <w:pStyle w:val="StileFonte"/>
        <w:jc w:val="left"/>
      </w:pPr>
      <w:r w:rsidRPr="007C7380">
        <w:t>Fonte: elaborazioni RUR</w:t>
      </w:r>
      <w:r w:rsidR="00E23CC0">
        <w:t xml:space="preserve"> </w:t>
      </w:r>
      <w:r w:rsidR="00D74C84">
        <w:t xml:space="preserve">su dati vari, </w:t>
      </w:r>
      <w:r w:rsidRPr="007C7380">
        <w:t>2016</w:t>
      </w:r>
    </w:p>
    <w:p w:rsidR="00DC7BB1" w:rsidRPr="006530A7" w:rsidRDefault="00280D6F" w:rsidP="00F54056">
      <w:pPr>
        <w:spacing w:before="120" w:after="120"/>
        <w:jc w:val="both"/>
      </w:pPr>
      <w:r w:rsidRPr="003A2821">
        <w:rPr>
          <w:sz w:val="24"/>
          <w:szCs w:val="24"/>
        </w:rPr>
        <w:t xml:space="preserve">Per quanto attiene il </w:t>
      </w:r>
      <w:r w:rsidRPr="003A2821">
        <w:rPr>
          <w:b/>
          <w:sz w:val="24"/>
          <w:szCs w:val="24"/>
        </w:rPr>
        <w:t xml:space="preserve">Prodotto Interno Lordo </w:t>
      </w:r>
      <w:r w:rsidRPr="003A2821">
        <w:rPr>
          <w:sz w:val="24"/>
          <w:szCs w:val="24"/>
        </w:rPr>
        <w:t>si confermano i progressi per tutto il triennio e l’uscita dalla recessione avvenuta nel 2015.</w:t>
      </w:r>
      <w:r w:rsidR="007A3272" w:rsidRPr="003A2821">
        <w:rPr>
          <w:sz w:val="24"/>
          <w:szCs w:val="24"/>
        </w:rPr>
        <w:t xml:space="preserve"> </w:t>
      </w:r>
      <w:r w:rsidRPr="003A2821">
        <w:rPr>
          <w:sz w:val="24"/>
          <w:szCs w:val="24"/>
        </w:rPr>
        <w:t xml:space="preserve">Sulla misura dell’incremento vi è una generale concordanza su valori </w:t>
      </w:r>
      <w:r w:rsidRPr="008C387B">
        <w:rPr>
          <w:sz w:val="24"/>
          <w:szCs w:val="24"/>
        </w:rPr>
        <w:t>superiori all’1%</w:t>
      </w:r>
      <w:r w:rsidR="00E82E81" w:rsidRPr="008C387B">
        <w:rPr>
          <w:sz w:val="24"/>
          <w:szCs w:val="24"/>
        </w:rPr>
        <w:t xml:space="preserve"> (tab.</w:t>
      </w:r>
      <w:r w:rsidR="00E56801" w:rsidRPr="008C387B">
        <w:rPr>
          <w:sz w:val="24"/>
          <w:szCs w:val="24"/>
        </w:rPr>
        <w:t xml:space="preserve"> </w:t>
      </w:r>
      <w:r w:rsidR="00E82E81" w:rsidRPr="008C387B">
        <w:rPr>
          <w:sz w:val="24"/>
          <w:szCs w:val="24"/>
        </w:rPr>
        <w:t>2)</w:t>
      </w:r>
      <w:r w:rsidRPr="008C387B">
        <w:rPr>
          <w:sz w:val="24"/>
          <w:szCs w:val="24"/>
        </w:rPr>
        <w:t>.</w:t>
      </w:r>
      <w:r w:rsidRPr="006530A7">
        <w:t xml:space="preserve"> </w:t>
      </w:r>
    </w:p>
    <w:p w:rsidR="003853B4" w:rsidRPr="006530A7" w:rsidRDefault="003853B4" w:rsidP="00097AFE">
      <w:pPr>
        <w:pStyle w:val="Titolotabella"/>
      </w:pPr>
      <w:r w:rsidRPr="006530A7">
        <w:t>Tab.2 – Principali previsioni dell’andamento del Pil (var.</w:t>
      </w:r>
      <w:r w:rsidR="00CE2F3E" w:rsidRPr="006530A7">
        <w:t xml:space="preserve"> </w:t>
      </w:r>
      <w:r w:rsidRPr="006530A7">
        <w:t>% su anno precedente)</w:t>
      </w:r>
    </w:p>
    <w:tbl>
      <w:tblPr>
        <w:tblStyle w:val="Sfondomedio1-Colore1"/>
        <w:tblW w:w="0" w:type="auto"/>
        <w:tblInd w:w="-10" w:type="dxa"/>
        <w:tblLook w:val="04A0" w:firstRow="1" w:lastRow="0" w:firstColumn="1" w:lastColumn="0" w:noHBand="0" w:noVBand="1"/>
      </w:tblPr>
      <w:tblGrid>
        <w:gridCol w:w="2522"/>
        <w:gridCol w:w="1118"/>
        <w:gridCol w:w="1227"/>
        <w:gridCol w:w="1118"/>
        <w:gridCol w:w="1255"/>
        <w:gridCol w:w="1254"/>
      </w:tblGrid>
      <w:tr w:rsidR="003853B4" w:rsidRPr="006530A7" w:rsidTr="00FA5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3853B4" w:rsidRPr="007C7380" w:rsidRDefault="003853B4" w:rsidP="00CA3F79">
            <w:pPr>
              <w:jc w:val="both"/>
            </w:pPr>
            <w:r w:rsidRPr="007C7380">
              <w:t>Fonte/ Anni</w:t>
            </w:r>
          </w:p>
        </w:tc>
        <w:tc>
          <w:tcPr>
            <w:tcW w:w="1118" w:type="dxa"/>
          </w:tcPr>
          <w:p w:rsidR="003853B4" w:rsidRPr="007C7380" w:rsidRDefault="003853B4" w:rsidP="00402E4D">
            <w:pPr>
              <w:jc w:val="center"/>
              <w:cnfStyle w:val="100000000000" w:firstRow="1" w:lastRow="0" w:firstColumn="0" w:lastColumn="0" w:oddVBand="0" w:evenVBand="0" w:oddHBand="0" w:evenHBand="0" w:firstRowFirstColumn="0" w:firstRowLastColumn="0" w:lastRowFirstColumn="0" w:lastRowLastColumn="0"/>
            </w:pPr>
            <w:r w:rsidRPr="007C7380">
              <w:t>2014</w:t>
            </w:r>
          </w:p>
        </w:tc>
        <w:tc>
          <w:tcPr>
            <w:tcW w:w="1227" w:type="dxa"/>
          </w:tcPr>
          <w:p w:rsidR="003853B4" w:rsidRPr="007C7380" w:rsidRDefault="003853B4" w:rsidP="00402E4D">
            <w:pPr>
              <w:jc w:val="center"/>
              <w:cnfStyle w:val="100000000000" w:firstRow="1" w:lastRow="0" w:firstColumn="0" w:lastColumn="0" w:oddVBand="0" w:evenVBand="0" w:oddHBand="0" w:evenHBand="0" w:firstRowFirstColumn="0" w:firstRowLastColumn="0" w:lastRowFirstColumn="0" w:lastRowLastColumn="0"/>
            </w:pPr>
            <w:r w:rsidRPr="007C7380">
              <w:t>2015</w:t>
            </w:r>
          </w:p>
        </w:tc>
        <w:tc>
          <w:tcPr>
            <w:tcW w:w="1118" w:type="dxa"/>
          </w:tcPr>
          <w:p w:rsidR="003853B4" w:rsidRPr="007C7380" w:rsidRDefault="003853B4" w:rsidP="00402E4D">
            <w:pPr>
              <w:jc w:val="center"/>
              <w:cnfStyle w:val="100000000000" w:firstRow="1" w:lastRow="0" w:firstColumn="0" w:lastColumn="0" w:oddVBand="0" w:evenVBand="0" w:oddHBand="0" w:evenHBand="0" w:firstRowFirstColumn="0" w:firstRowLastColumn="0" w:lastRowFirstColumn="0" w:lastRowLastColumn="0"/>
            </w:pPr>
            <w:r w:rsidRPr="007C7380">
              <w:t>2016</w:t>
            </w:r>
          </w:p>
        </w:tc>
        <w:tc>
          <w:tcPr>
            <w:tcW w:w="1255" w:type="dxa"/>
          </w:tcPr>
          <w:p w:rsidR="003853B4" w:rsidRPr="007C7380" w:rsidRDefault="003853B4" w:rsidP="00402E4D">
            <w:pPr>
              <w:jc w:val="center"/>
              <w:cnfStyle w:val="100000000000" w:firstRow="1" w:lastRow="0" w:firstColumn="0" w:lastColumn="0" w:oddVBand="0" w:evenVBand="0" w:oddHBand="0" w:evenHBand="0" w:firstRowFirstColumn="0" w:firstRowLastColumn="0" w:lastRowFirstColumn="0" w:lastRowLastColumn="0"/>
            </w:pPr>
            <w:r w:rsidRPr="007C7380">
              <w:t>2017</w:t>
            </w:r>
          </w:p>
        </w:tc>
        <w:tc>
          <w:tcPr>
            <w:tcW w:w="1254" w:type="dxa"/>
          </w:tcPr>
          <w:p w:rsidR="003853B4" w:rsidRPr="007C7380" w:rsidRDefault="003853B4" w:rsidP="00402E4D">
            <w:pPr>
              <w:jc w:val="center"/>
              <w:cnfStyle w:val="100000000000" w:firstRow="1" w:lastRow="0" w:firstColumn="0" w:lastColumn="0" w:oddVBand="0" w:evenVBand="0" w:oddHBand="0" w:evenHBand="0" w:firstRowFirstColumn="0" w:firstRowLastColumn="0" w:lastRowFirstColumn="0" w:lastRowLastColumn="0"/>
            </w:pPr>
            <w:r w:rsidRPr="007C7380">
              <w:t>2018</w:t>
            </w:r>
          </w:p>
        </w:tc>
      </w:tr>
      <w:tr w:rsidR="003853B4" w:rsidRPr="006530A7" w:rsidTr="00FA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3853B4" w:rsidRPr="00873DF1" w:rsidRDefault="003853B4" w:rsidP="003853B4">
            <w:pPr>
              <w:jc w:val="both"/>
              <w:rPr>
                <w:b w:val="0"/>
              </w:rPr>
            </w:pPr>
            <w:r w:rsidRPr="00873DF1">
              <w:rPr>
                <w:b w:val="0"/>
              </w:rPr>
              <w:t>Nota Integrativa DEF</w:t>
            </w:r>
          </w:p>
        </w:tc>
        <w:tc>
          <w:tcPr>
            <w:tcW w:w="1118"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-0,4</w:t>
            </w:r>
          </w:p>
        </w:tc>
        <w:tc>
          <w:tcPr>
            <w:tcW w:w="1227"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0,9</w:t>
            </w:r>
          </w:p>
        </w:tc>
        <w:tc>
          <w:tcPr>
            <w:tcW w:w="1118"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1,3</w:t>
            </w:r>
          </w:p>
        </w:tc>
        <w:tc>
          <w:tcPr>
            <w:tcW w:w="1255"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1,3</w:t>
            </w:r>
          </w:p>
        </w:tc>
        <w:tc>
          <w:tcPr>
            <w:tcW w:w="1254"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1,3</w:t>
            </w:r>
          </w:p>
        </w:tc>
      </w:tr>
      <w:tr w:rsidR="003853B4" w:rsidRPr="006530A7" w:rsidTr="00FA5E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3853B4" w:rsidRPr="00873DF1" w:rsidRDefault="003853B4" w:rsidP="00CA3F79">
            <w:pPr>
              <w:jc w:val="both"/>
              <w:rPr>
                <w:b w:val="0"/>
              </w:rPr>
            </w:pPr>
            <w:r w:rsidRPr="00873DF1">
              <w:rPr>
                <w:b w:val="0"/>
              </w:rPr>
              <w:t>ISTAT</w:t>
            </w:r>
          </w:p>
        </w:tc>
        <w:tc>
          <w:tcPr>
            <w:tcW w:w="1118" w:type="dxa"/>
          </w:tcPr>
          <w:p w:rsidR="003853B4" w:rsidRPr="007C7380" w:rsidRDefault="003853B4" w:rsidP="00402E4D">
            <w:pPr>
              <w:jc w:val="center"/>
              <w:cnfStyle w:val="000000010000" w:firstRow="0" w:lastRow="0" w:firstColumn="0" w:lastColumn="0" w:oddVBand="0" w:evenVBand="0" w:oddHBand="0" w:evenHBand="1" w:firstRowFirstColumn="0" w:firstRowLastColumn="0" w:lastRowFirstColumn="0" w:lastRowLastColumn="0"/>
            </w:pPr>
            <w:r w:rsidRPr="007C7380">
              <w:t>-0,4</w:t>
            </w:r>
          </w:p>
        </w:tc>
        <w:tc>
          <w:tcPr>
            <w:tcW w:w="1227" w:type="dxa"/>
          </w:tcPr>
          <w:p w:rsidR="003853B4" w:rsidRPr="007C7380" w:rsidRDefault="003853B4" w:rsidP="00F50EFB">
            <w:pPr>
              <w:jc w:val="center"/>
              <w:cnfStyle w:val="000000010000" w:firstRow="0" w:lastRow="0" w:firstColumn="0" w:lastColumn="0" w:oddVBand="0" w:evenVBand="0" w:oddHBand="0" w:evenHBand="1" w:firstRowFirstColumn="0" w:firstRowLastColumn="0" w:lastRowFirstColumn="0" w:lastRowLastColumn="0"/>
            </w:pPr>
            <w:r w:rsidRPr="007C7380">
              <w:t>0,</w:t>
            </w:r>
            <w:r w:rsidR="00F50EFB">
              <w:t>8</w:t>
            </w:r>
          </w:p>
        </w:tc>
        <w:tc>
          <w:tcPr>
            <w:tcW w:w="1118" w:type="dxa"/>
          </w:tcPr>
          <w:p w:rsidR="003853B4" w:rsidRPr="007C7380" w:rsidRDefault="003853B4" w:rsidP="00402E4D">
            <w:pPr>
              <w:jc w:val="center"/>
              <w:cnfStyle w:val="000000010000" w:firstRow="0" w:lastRow="0" w:firstColumn="0" w:lastColumn="0" w:oddVBand="0" w:evenVBand="0" w:oddHBand="0" w:evenHBand="1" w:firstRowFirstColumn="0" w:firstRowLastColumn="0" w:lastRowFirstColumn="0" w:lastRowLastColumn="0"/>
            </w:pPr>
            <w:r w:rsidRPr="007C7380">
              <w:t>1,4</w:t>
            </w:r>
          </w:p>
        </w:tc>
        <w:tc>
          <w:tcPr>
            <w:tcW w:w="1255" w:type="dxa"/>
          </w:tcPr>
          <w:p w:rsidR="003853B4" w:rsidRPr="007C7380" w:rsidRDefault="003853B4" w:rsidP="00402E4D">
            <w:pPr>
              <w:jc w:val="center"/>
              <w:cnfStyle w:val="000000010000" w:firstRow="0" w:lastRow="0" w:firstColumn="0" w:lastColumn="0" w:oddVBand="0" w:evenVBand="0" w:oddHBand="0" w:evenHBand="1" w:firstRowFirstColumn="0" w:firstRowLastColumn="0" w:lastRowFirstColumn="0" w:lastRowLastColumn="0"/>
            </w:pPr>
            <w:r w:rsidRPr="007C7380">
              <w:t>1,4</w:t>
            </w:r>
          </w:p>
        </w:tc>
        <w:tc>
          <w:tcPr>
            <w:tcW w:w="1254" w:type="dxa"/>
          </w:tcPr>
          <w:p w:rsidR="003853B4" w:rsidRPr="007C7380" w:rsidRDefault="00402E4D" w:rsidP="00402E4D">
            <w:pPr>
              <w:jc w:val="center"/>
              <w:cnfStyle w:val="000000010000" w:firstRow="0" w:lastRow="0" w:firstColumn="0" w:lastColumn="0" w:oddVBand="0" w:evenVBand="0" w:oddHBand="0" w:evenHBand="1" w:firstRowFirstColumn="0" w:firstRowLastColumn="0" w:lastRowFirstColumn="0" w:lastRowLastColumn="0"/>
            </w:pPr>
            <w:r w:rsidRPr="007C7380">
              <w:t>-</w:t>
            </w:r>
          </w:p>
        </w:tc>
      </w:tr>
      <w:tr w:rsidR="003853B4" w:rsidRPr="006530A7" w:rsidTr="00FA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3853B4" w:rsidRPr="00873DF1" w:rsidRDefault="003853B4" w:rsidP="00CA3F79">
            <w:pPr>
              <w:jc w:val="both"/>
              <w:rPr>
                <w:b w:val="0"/>
              </w:rPr>
            </w:pPr>
            <w:r w:rsidRPr="00873DF1">
              <w:rPr>
                <w:b w:val="0"/>
              </w:rPr>
              <w:t>Commissione Europea</w:t>
            </w:r>
          </w:p>
        </w:tc>
        <w:tc>
          <w:tcPr>
            <w:tcW w:w="1118"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-0,4</w:t>
            </w:r>
          </w:p>
        </w:tc>
        <w:tc>
          <w:tcPr>
            <w:tcW w:w="1227"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0,8</w:t>
            </w:r>
          </w:p>
        </w:tc>
        <w:tc>
          <w:tcPr>
            <w:tcW w:w="1118"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1,4</w:t>
            </w:r>
          </w:p>
        </w:tc>
        <w:tc>
          <w:tcPr>
            <w:tcW w:w="1255"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1,3</w:t>
            </w:r>
          </w:p>
        </w:tc>
        <w:tc>
          <w:tcPr>
            <w:tcW w:w="1254" w:type="dxa"/>
          </w:tcPr>
          <w:p w:rsidR="003853B4" w:rsidRPr="007C7380" w:rsidRDefault="00402E4D" w:rsidP="00402E4D">
            <w:pPr>
              <w:jc w:val="center"/>
              <w:cnfStyle w:val="000000100000" w:firstRow="0" w:lastRow="0" w:firstColumn="0" w:lastColumn="0" w:oddVBand="0" w:evenVBand="0" w:oddHBand="1" w:evenHBand="0" w:firstRowFirstColumn="0" w:firstRowLastColumn="0" w:lastRowFirstColumn="0" w:lastRowLastColumn="0"/>
            </w:pPr>
            <w:r w:rsidRPr="007C7380">
              <w:t>-</w:t>
            </w:r>
          </w:p>
        </w:tc>
      </w:tr>
      <w:tr w:rsidR="003853B4" w:rsidRPr="006530A7" w:rsidTr="00FA5E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3853B4" w:rsidRPr="00873DF1" w:rsidRDefault="003853B4" w:rsidP="00CA3F79">
            <w:pPr>
              <w:jc w:val="both"/>
              <w:rPr>
                <w:b w:val="0"/>
              </w:rPr>
            </w:pPr>
            <w:r w:rsidRPr="00873DF1">
              <w:rPr>
                <w:b w:val="0"/>
              </w:rPr>
              <w:t>OECD</w:t>
            </w:r>
          </w:p>
        </w:tc>
        <w:tc>
          <w:tcPr>
            <w:tcW w:w="1118" w:type="dxa"/>
          </w:tcPr>
          <w:p w:rsidR="003853B4" w:rsidRPr="007C7380" w:rsidRDefault="003853B4" w:rsidP="00402E4D">
            <w:pPr>
              <w:jc w:val="center"/>
              <w:cnfStyle w:val="000000010000" w:firstRow="0" w:lastRow="0" w:firstColumn="0" w:lastColumn="0" w:oddVBand="0" w:evenVBand="0" w:oddHBand="0" w:evenHBand="1" w:firstRowFirstColumn="0" w:firstRowLastColumn="0" w:lastRowFirstColumn="0" w:lastRowLastColumn="0"/>
            </w:pPr>
            <w:r w:rsidRPr="007C7380">
              <w:t>-0,4</w:t>
            </w:r>
          </w:p>
        </w:tc>
        <w:tc>
          <w:tcPr>
            <w:tcW w:w="1227" w:type="dxa"/>
          </w:tcPr>
          <w:p w:rsidR="003853B4" w:rsidRPr="007C7380" w:rsidRDefault="003853B4" w:rsidP="00402E4D">
            <w:pPr>
              <w:jc w:val="center"/>
              <w:cnfStyle w:val="000000010000" w:firstRow="0" w:lastRow="0" w:firstColumn="0" w:lastColumn="0" w:oddVBand="0" w:evenVBand="0" w:oddHBand="0" w:evenHBand="1" w:firstRowFirstColumn="0" w:firstRowLastColumn="0" w:lastRowFirstColumn="0" w:lastRowLastColumn="0"/>
            </w:pPr>
            <w:r w:rsidRPr="007C7380">
              <w:t>0,8</w:t>
            </w:r>
          </w:p>
        </w:tc>
        <w:tc>
          <w:tcPr>
            <w:tcW w:w="1118" w:type="dxa"/>
          </w:tcPr>
          <w:p w:rsidR="003853B4" w:rsidRPr="007C7380" w:rsidRDefault="003853B4" w:rsidP="00402E4D">
            <w:pPr>
              <w:jc w:val="center"/>
              <w:cnfStyle w:val="000000010000" w:firstRow="0" w:lastRow="0" w:firstColumn="0" w:lastColumn="0" w:oddVBand="0" w:evenVBand="0" w:oddHBand="0" w:evenHBand="1" w:firstRowFirstColumn="0" w:firstRowLastColumn="0" w:lastRowFirstColumn="0" w:lastRowLastColumn="0"/>
            </w:pPr>
            <w:r w:rsidRPr="007C7380">
              <w:t>1,4</w:t>
            </w:r>
          </w:p>
        </w:tc>
        <w:tc>
          <w:tcPr>
            <w:tcW w:w="1255" w:type="dxa"/>
          </w:tcPr>
          <w:p w:rsidR="003853B4" w:rsidRPr="007C7380" w:rsidRDefault="003853B4" w:rsidP="00402E4D">
            <w:pPr>
              <w:jc w:val="center"/>
              <w:cnfStyle w:val="000000010000" w:firstRow="0" w:lastRow="0" w:firstColumn="0" w:lastColumn="0" w:oddVBand="0" w:evenVBand="0" w:oddHBand="0" w:evenHBand="1" w:firstRowFirstColumn="0" w:firstRowLastColumn="0" w:lastRowFirstColumn="0" w:lastRowLastColumn="0"/>
            </w:pPr>
            <w:r w:rsidRPr="007C7380">
              <w:t>1,4</w:t>
            </w:r>
          </w:p>
        </w:tc>
        <w:tc>
          <w:tcPr>
            <w:tcW w:w="1254" w:type="dxa"/>
          </w:tcPr>
          <w:p w:rsidR="003853B4" w:rsidRPr="007C7380" w:rsidRDefault="00402E4D" w:rsidP="00402E4D">
            <w:pPr>
              <w:jc w:val="center"/>
              <w:cnfStyle w:val="000000010000" w:firstRow="0" w:lastRow="0" w:firstColumn="0" w:lastColumn="0" w:oddVBand="0" w:evenVBand="0" w:oddHBand="0" w:evenHBand="1" w:firstRowFirstColumn="0" w:firstRowLastColumn="0" w:lastRowFirstColumn="0" w:lastRowLastColumn="0"/>
            </w:pPr>
            <w:r w:rsidRPr="007C7380">
              <w:t>-</w:t>
            </w:r>
          </w:p>
        </w:tc>
      </w:tr>
      <w:tr w:rsidR="003853B4" w:rsidRPr="006530A7" w:rsidTr="00FA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3853B4" w:rsidRPr="00873DF1" w:rsidRDefault="003853B4" w:rsidP="00CA3F79">
            <w:pPr>
              <w:jc w:val="both"/>
              <w:rPr>
                <w:b w:val="0"/>
              </w:rPr>
            </w:pPr>
            <w:r w:rsidRPr="00873DF1">
              <w:rPr>
                <w:b w:val="0"/>
              </w:rPr>
              <w:t>Oxford Economics</w:t>
            </w:r>
          </w:p>
        </w:tc>
        <w:tc>
          <w:tcPr>
            <w:tcW w:w="1118"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-0,4</w:t>
            </w:r>
          </w:p>
        </w:tc>
        <w:tc>
          <w:tcPr>
            <w:tcW w:w="1227"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0,</w:t>
            </w:r>
            <w:r w:rsidR="00AB0904" w:rsidRPr="007C7380">
              <w:t>8</w:t>
            </w:r>
          </w:p>
        </w:tc>
        <w:tc>
          <w:tcPr>
            <w:tcW w:w="1118"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1</w:t>
            </w:r>
            <w:r w:rsidR="00AB0904" w:rsidRPr="007C7380">
              <w:t>,3</w:t>
            </w:r>
          </w:p>
        </w:tc>
        <w:tc>
          <w:tcPr>
            <w:tcW w:w="1255"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1,1</w:t>
            </w:r>
          </w:p>
        </w:tc>
        <w:tc>
          <w:tcPr>
            <w:tcW w:w="1254" w:type="dxa"/>
          </w:tcPr>
          <w:p w:rsidR="003853B4" w:rsidRPr="007C7380" w:rsidRDefault="003853B4" w:rsidP="00402E4D">
            <w:pPr>
              <w:jc w:val="center"/>
              <w:cnfStyle w:val="000000100000" w:firstRow="0" w:lastRow="0" w:firstColumn="0" w:lastColumn="0" w:oddVBand="0" w:evenVBand="0" w:oddHBand="1" w:evenHBand="0" w:firstRowFirstColumn="0" w:firstRowLastColumn="0" w:lastRowFirstColumn="0" w:lastRowLastColumn="0"/>
            </w:pPr>
            <w:r w:rsidRPr="007C7380">
              <w:t>1,1</w:t>
            </w:r>
          </w:p>
        </w:tc>
      </w:tr>
      <w:tr w:rsidR="003853B4" w:rsidRPr="006530A7" w:rsidTr="00FA5E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rsidR="003853B4" w:rsidRPr="00873DF1" w:rsidRDefault="003853B4" w:rsidP="00CA3F79">
            <w:pPr>
              <w:jc w:val="both"/>
              <w:rPr>
                <w:b w:val="0"/>
              </w:rPr>
            </w:pPr>
            <w:r w:rsidRPr="00873DF1">
              <w:rPr>
                <w:b w:val="0"/>
              </w:rPr>
              <w:t>UBS</w:t>
            </w:r>
          </w:p>
        </w:tc>
        <w:tc>
          <w:tcPr>
            <w:tcW w:w="1118" w:type="dxa"/>
          </w:tcPr>
          <w:p w:rsidR="003853B4" w:rsidRPr="007C7380" w:rsidRDefault="00AB0904" w:rsidP="00402E4D">
            <w:pPr>
              <w:jc w:val="center"/>
              <w:cnfStyle w:val="000000010000" w:firstRow="0" w:lastRow="0" w:firstColumn="0" w:lastColumn="0" w:oddVBand="0" w:evenVBand="0" w:oddHBand="0" w:evenHBand="1" w:firstRowFirstColumn="0" w:firstRowLastColumn="0" w:lastRowFirstColumn="0" w:lastRowLastColumn="0"/>
            </w:pPr>
            <w:r w:rsidRPr="007C7380">
              <w:t>-0,4</w:t>
            </w:r>
          </w:p>
        </w:tc>
        <w:tc>
          <w:tcPr>
            <w:tcW w:w="1227" w:type="dxa"/>
          </w:tcPr>
          <w:p w:rsidR="003853B4" w:rsidRPr="007C7380" w:rsidRDefault="00AB0904" w:rsidP="00402E4D">
            <w:pPr>
              <w:jc w:val="center"/>
              <w:cnfStyle w:val="000000010000" w:firstRow="0" w:lastRow="0" w:firstColumn="0" w:lastColumn="0" w:oddVBand="0" w:evenVBand="0" w:oddHBand="0" w:evenHBand="1" w:firstRowFirstColumn="0" w:firstRowLastColumn="0" w:lastRowFirstColumn="0" w:lastRowLastColumn="0"/>
            </w:pPr>
            <w:r w:rsidRPr="007C7380">
              <w:t>0,8</w:t>
            </w:r>
          </w:p>
        </w:tc>
        <w:tc>
          <w:tcPr>
            <w:tcW w:w="1118" w:type="dxa"/>
          </w:tcPr>
          <w:p w:rsidR="003853B4" w:rsidRPr="007C7380" w:rsidRDefault="00AB0904" w:rsidP="00402E4D">
            <w:pPr>
              <w:jc w:val="center"/>
              <w:cnfStyle w:val="000000010000" w:firstRow="0" w:lastRow="0" w:firstColumn="0" w:lastColumn="0" w:oddVBand="0" w:evenVBand="0" w:oddHBand="0" w:evenHBand="1" w:firstRowFirstColumn="0" w:firstRowLastColumn="0" w:lastRowFirstColumn="0" w:lastRowLastColumn="0"/>
            </w:pPr>
            <w:r w:rsidRPr="007C7380">
              <w:t>1,5</w:t>
            </w:r>
          </w:p>
        </w:tc>
        <w:tc>
          <w:tcPr>
            <w:tcW w:w="1255" w:type="dxa"/>
          </w:tcPr>
          <w:p w:rsidR="003853B4" w:rsidRPr="007C7380" w:rsidRDefault="00AB0904" w:rsidP="00402E4D">
            <w:pPr>
              <w:jc w:val="center"/>
              <w:cnfStyle w:val="000000010000" w:firstRow="0" w:lastRow="0" w:firstColumn="0" w:lastColumn="0" w:oddVBand="0" w:evenVBand="0" w:oddHBand="0" w:evenHBand="1" w:firstRowFirstColumn="0" w:firstRowLastColumn="0" w:lastRowFirstColumn="0" w:lastRowLastColumn="0"/>
            </w:pPr>
            <w:r w:rsidRPr="007C7380">
              <w:t>1,6</w:t>
            </w:r>
          </w:p>
        </w:tc>
        <w:tc>
          <w:tcPr>
            <w:tcW w:w="1254" w:type="dxa"/>
          </w:tcPr>
          <w:p w:rsidR="003853B4" w:rsidRPr="007C7380" w:rsidRDefault="00402E4D" w:rsidP="00402E4D">
            <w:pPr>
              <w:jc w:val="center"/>
              <w:cnfStyle w:val="000000010000" w:firstRow="0" w:lastRow="0" w:firstColumn="0" w:lastColumn="0" w:oddVBand="0" w:evenVBand="0" w:oddHBand="0" w:evenHBand="1" w:firstRowFirstColumn="0" w:firstRowLastColumn="0" w:lastRowFirstColumn="0" w:lastRowLastColumn="0"/>
            </w:pPr>
            <w:r w:rsidRPr="007C7380">
              <w:t>-</w:t>
            </w:r>
          </w:p>
        </w:tc>
      </w:tr>
    </w:tbl>
    <w:p w:rsidR="00F50EFB" w:rsidRPr="00F54056" w:rsidRDefault="00F50EFB" w:rsidP="00F50EFB">
      <w:pPr>
        <w:pStyle w:val="StileFonte"/>
        <w:jc w:val="left"/>
      </w:pPr>
      <w:r w:rsidRPr="007C7380">
        <w:t>Fonte: elaborazioni RUR</w:t>
      </w:r>
      <w:r w:rsidR="00AA34A6">
        <w:t xml:space="preserve"> </w:t>
      </w:r>
      <w:r w:rsidR="00D74C84">
        <w:t xml:space="preserve">su dati vari, </w:t>
      </w:r>
      <w:r w:rsidRPr="007C7380">
        <w:t>2016</w:t>
      </w:r>
    </w:p>
    <w:p w:rsidR="00280D6F" w:rsidRPr="006530A7" w:rsidRDefault="00280D6F">
      <w:pPr>
        <w:rPr>
          <w:b/>
        </w:rPr>
      </w:pPr>
      <w:r w:rsidRPr="006530A7">
        <w:rPr>
          <w:b/>
        </w:rPr>
        <w:br w:type="page"/>
      </w:r>
    </w:p>
    <w:p w:rsidR="00BF3FB5" w:rsidRPr="0021744B" w:rsidRDefault="00BF3FB5" w:rsidP="008A4F0A">
      <w:pPr>
        <w:pStyle w:val="Titolo1"/>
        <w:numPr>
          <w:ilvl w:val="0"/>
          <w:numId w:val="16"/>
        </w:numPr>
        <w:spacing w:after="240"/>
        <w:ind w:left="709" w:hanging="709"/>
        <w:rPr>
          <w:rFonts w:asciiTheme="minorHAnsi" w:hAnsiTheme="minorHAnsi"/>
          <w:smallCaps/>
          <w:color w:val="auto"/>
          <w:sz w:val="32"/>
          <w:szCs w:val="32"/>
        </w:rPr>
      </w:pPr>
      <w:bookmarkStart w:id="8" w:name="_Toc445539591"/>
      <w:r w:rsidRPr="0021744B">
        <w:rPr>
          <w:rFonts w:asciiTheme="minorHAnsi" w:hAnsiTheme="minorHAnsi"/>
          <w:smallCaps/>
          <w:color w:val="auto"/>
          <w:sz w:val="32"/>
          <w:szCs w:val="32"/>
        </w:rPr>
        <w:lastRenderedPageBreak/>
        <w:t xml:space="preserve">Le prospettive e le </w:t>
      </w:r>
      <w:r w:rsidR="0060482C">
        <w:rPr>
          <w:rFonts w:asciiTheme="minorHAnsi" w:hAnsiTheme="minorHAnsi"/>
          <w:smallCaps/>
          <w:color w:val="auto"/>
          <w:sz w:val="32"/>
          <w:szCs w:val="32"/>
        </w:rPr>
        <w:t>analisi 2016</w:t>
      </w:r>
      <w:r w:rsidRPr="0021744B">
        <w:rPr>
          <w:rFonts w:asciiTheme="minorHAnsi" w:hAnsiTheme="minorHAnsi"/>
          <w:smallCaps/>
          <w:color w:val="auto"/>
          <w:sz w:val="32"/>
          <w:szCs w:val="32"/>
        </w:rPr>
        <w:t>-2018</w:t>
      </w:r>
      <w:r w:rsidR="0021744B" w:rsidRPr="0021744B">
        <w:rPr>
          <w:rFonts w:asciiTheme="minorHAnsi" w:hAnsiTheme="minorHAnsi"/>
          <w:smallCaps/>
          <w:color w:val="auto"/>
          <w:sz w:val="32"/>
          <w:szCs w:val="32"/>
        </w:rPr>
        <w:t xml:space="preserve">: un </w:t>
      </w:r>
      <w:r w:rsidR="00280D6F" w:rsidRPr="0021744B">
        <w:rPr>
          <w:rFonts w:asciiTheme="minorHAnsi" w:hAnsiTheme="minorHAnsi"/>
          <w:smallCaps/>
          <w:color w:val="auto"/>
          <w:sz w:val="32"/>
          <w:szCs w:val="32"/>
        </w:rPr>
        <w:t>approfondimento con l’indagine presso tecnici e valutatori e il REI</w:t>
      </w:r>
      <w:r w:rsidR="003672E6">
        <w:rPr>
          <w:rFonts w:asciiTheme="minorHAnsi" w:hAnsiTheme="minorHAnsi"/>
          <w:smallCaps/>
          <w:color w:val="auto"/>
          <w:sz w:val="32"/>
          <w:szCs w:val="32"/>
        </w:rPr>
        <w:t xml:space="preserve"> </w:t>
      </w:r>
      <w:r w:rsidR="00280D6F" w:rsidRPr="0021744B">
        <w:rPr>
          <w:rFonts w:asciiTheme="minorHAnsi" w:hAnsiTheme="minorHAnsi"/>
          <w:smallCaps/>
          <w:color w:val="auto"/>
          <w:sz w:val="32"/>
          <w:szCs w:val="32"/>
        </w:rPr>
        <w:t>(Real Estate Italia) Index</w:t>
      </w:r>
      <w:bookmarkEnd w:id="8"/>
    </w:p>
    <w:p w:rsidR="004B6BF5" w:rsidRPr="0088646B" w:rsidRDefault="00280D6F" w:rsidP="003A56E7">
      <w:pPr>
        <w:spacing w:before="120" w:after="120"/>
        <w:jc w:val="both"/>
        <w:rPr>
          <w:sz w:val="24"/>
          <w:szCs w:val="24"/>
        </w:rPr>
      </w:pPr>
      <w:r w:rsidRPr="0088646B">
        <w:rPr>
          <w:sz w:val="24"/>
          <w:szCs w:val="24"/>
        </w:rPr>
        <w:t>Attraverso un apposito questionario somministrato con metodo CAWI a tecnici presenti in 82 province italiane è stato possibile ricostruire un quadro previsivo basato sulla diretta esperienza professionale di un qualificato panel di esperti costantemente a contatto con il mercato sia per effettuare valutazion</w:t>
      </w:r>
      <w:r w:rsidR="00471699">
        <w:rPr>
          <w:sz w:val="24"/>
          <w:szCs w:val="24"/>
        </w:rPr>
        <w:t>i</w:t>
      </w:r>
      <w:r w:rsidRPr="0088646B">
        <w:rPr>
          <w:sz w:val="24"/>
          <w:szCs w:val="24"/>
        </w:rPr>
        <w:t xml:space="preserve"> e stime, che altri servizi in ambito ingegneristico ed estimativo.</w:t>
      </w:r>
    </w:p>
    <w:p w:rsidR="00091E8D" w:rsidRPr="0088646B" w:rsidRDefault="00091E8D" w:rsidP="003A56E7">
      <w:pPr>
        <w:spacing w:before="120" w:after="120" w:line="276" w:lineRule="auto"/>
        <w:jc w:val="both"/>
        <w:rPr>
          <w:b/>
          <w:sz w:val="24"/>
          <w:szCs w:val="24"/>
        </w:rPr>
      </w:pPr>
      <w:r w:rsidRPr="0088646B">
        <w:rPr>
          <w:sz w:val="24"/>
          <w:szCs w:val="24"/>
        </w:rPr>
        <w:t>L</w:t>
      </w:r>
      <w:r w:rsidR="004B6BF5" w:rsidRPr="0088646B">
        <w:rPr>
          <w:sz w:val="24"/>
          <w:szCs w:val="24"/>
        </w:rPr>
        <w:t xml:space="preserve">’ elaborazione di alcune delle risposte ottenute ha portato, inoltre, a formulare il </w:t>
      </w:r>
      <w:r w:rsidR="004B6BF5" w:rsidRPr="0088646B">
        <w:rPr>
          <w:b/>
          <w:sz w:val="24"/>
          <w:szCs w:val="24"/>
        </w:rPr>
        <w:t>REI (Real Estate Italia) Index</w:t>
      </w:r>
      <w:r w:rsidR="004B6BF5" w:rsidRPr="0088646B">
        <w:rPr>
          <w:sz w:val="24"/>
          <w:szCs w:val="24"/>
        </w:rPr>
        <w:t xml:space="preserve"> secondo</w:t>
      </w:r>
      <w:r w:rsidR="000B5DEB" w:rsidRPr="0088646B">
        <w:rPr>
          <w:sz w:val="24"/>
          <w:szCs w:val="24"/>
        </w:rPr>
        <w:t xml:space="preserve"> la metodologia del PMI (Purcha</w:t>
      </w:r>
      <w:r w:rsidR="004B6BF5" w:rsidRPr="0088646B">
        <w:rPr>
          <w:sz w:val="24"/>
          <w:szCs w:val="24"/>
        </w:rPr>
        <w:t>sing Manager’s Index), che in modo sintetico consente di valutare se la variabile considerata migliorerà, resterà stabile o si deteriorerà.</w:t>
      </w:r>
      <w:r w:rsidRPr="0088646B">
        <w:rPr>
          <w:b/>
          <w:sz w:val="24"/>
          <w:szCs w:val="24"/>
        </w:rPr>
        <w:t xml:space="preserve"> </w:t>
      </w:r>
    </w:p>
    <w:p w:rsidR="00091E8D" w:rsidRPr="006530A7" w:rsidRDefault="00091E8D" w:rsidP="00822ADA">
      <w:pPr>
        <w:pStyle w:val="Titolo2"/>
        <w:numPr>
          <w:ilvl w:val="1"/>
          <w:numId w:val="16"/>
        </w:numPr>
        <w:spacing w:before="640" w:after="320"/>
        <w:ind w:left="0" w:firstLine="0"/>
        <w:rPr>
          <w:rFonts w:asciiTheme="minorHAnsi" w:hAnsiTheme="minorHAnsi"/>
          <w:color w:val="auto"/>
        </w:rPr>
      </w:pPr>
      <w:bookmarkStart w:id="9" w:name="_Toc445539592"/>
      <w:r w:rsidRPr="006530A7">
        <w:rPr>
          <w:rFonts w:asciiTheme="minorHAnsi" w:hAnsiTheme="minorHAnsi"/>
          <w:color w:val="auto"/>
        </w:rPr>
        <w:t>Nel residenziale l’usato sarà il driver già nel 2016</w:t>
      </w:r>
      <w:bookmarkEnd w:id="9"/>
    </w:p>
    <w:p w:rsidR="00091E8D" w:rsidRPr="0088646B" w:rsidRDefault="00091E8D" w:rsidP="00F463C6">
      <w:pPr>
        <w:spacing w:before="120" w:after="120"/>
        <w:jc w:val="both"/>
        <w:rPr>
          <w:sz w:val="24"/>
          <w:szCs w:val="24"/>
        </w:rPr>
      </w:pPr>
      <w:r w:rsidRPr="0088646B">
        <w:rPr>
          <w:sz w:val="24"/>
          <w:szCs w:val="24"/>
        </w:rPr>
        <w:t xml:space="preserve">La congiuntura immobiliare presenta andamenti </w:t>
      </w:r>
      <w:r w:rsidR="00725D32">
        <w:rPr>
          <w:sz w:val="24"/>
          <w:szCs w:val="24"/>
        </w:rPr>
        <w:t>diversi</w:t>
      </w:r>
      <w:r w:rsidRPr="0088646B">
        <w:rPr>
          <w:sz w:val="24"/>
          <w:szCs w:val="24"/>
        </w:rPr>
        <w:t xml:space="preserve"> nei segmenti che compongono il mercato. E’ opinione diffusa che nel corso del </w:t>
      </w:r>
      <w:r w:rsidRPr="0088646B">
        <w:rPr>
          <w:b/>
          <w:sz w:val="24"/>
          <w:szCs w:val="24"/>
        </w:rPr>
        <w:t>2016</w:t>
      </w:r>
      <w:r w:rsidRPr="0088646B">
        <w:rPr>
          <w:sz w:val="24"/>
          <w:szCs w:val="24"/>
        </w:rPr>
        <w:t xml:space="preserve"> il driver del mercato sarà rappresentato esclusivamente dal </w:t>
      </w:r>
      <w:r w:rsidRPr="0088646B">
        <w:rPr>
          <w:b/>
          <w:sz w:val="24"/>
          <w:szCs w:val="24"/>
        </w:rPr>
        <w:t>segmento residenziale</w:t>
      </w:r>
      <w:r w:rsidRPr="0088646B">
        <w:rPr>
          <w:sz w:val="24"/>
          <w:szCs w:val="24"/>
        </w:rPr>
        <w:t xml:space="preserve"> che tuttavia, al suo interno, mostrerà diverse facce. Un’ampia maggioranza dei professionisti interpellati converge su aspettative di:</w:t>
      </w:r>
    </w:p>
    <w:p w:rsidR="00091E8D" w:rsidRPr="0088646B" w:rsidRDefault="00091E8D" w:rsidP="00F463C6">
      <w:pPr>
        <w:pStyle w:val="Paragrafoelenco"/>
        <w:numPr>
          <w:ilvl w:val="0"/>
          <w:numId w:val="7"/>
        </w:numPr>
        <w:spacing w:before="120" w:after="120"/>
        <w:jc w:val="both"/>
        <w:rPr>
          <w:sz w:val="24"/>
          <w:szCs w:val="24"/>
        </w:rPr>
      </w:pPr>
      <w:r w:rsidRPr="0088646B">
        <w:rPr>
          <w:sz w:val="24"/>
          <w:szCs w:val="24"/>
        </w:rPr>
        <w:t xml:space="preserve">generale </w:t>
      </w:r>
      <w:r w:rsidRPr="00F50EFB">
        <w:rPr>
          <w:b/>
          <w:sz w:val="24"/>
          <w:szCs w:val="24"/>
        </w:rPr>
        <w:t>crescita degli scambi</w:t>
      </w:r>
      <w:r w:rsidRPr="0088646B">
        <w:rPr>
          <w:sz w:val="24"/>
          <w:szCs w:val="24"/>
        </w:rPr>
        <w:t xml:space="preserve">, uniformemente distribuita sul territorio nazionale e capace di investire oltre alle grandi città anche i comuni intermedi; </w:t>
      </w:r>
    </w:p>
    <w:p w:rsidR="00091E8D" w:rsidRPr="0088646B" w:rsidRDefault="00091E8D" w:rsidP="00F463C6">
      <w:pPr>
        <w:pStyle w:val="Paragrafoelenco"/>
        <w:numPr>
          <w:ilvl w:val="0"/>
          <w:numId w:val="7"/>
        </w:numPr>
        <w:spacing w:before="120" w:after="120"/>
        <w:jc w:val="both"/>
        <w:rPr>
          <w:sz w:val="24"/>
          <w:szCs w:val="24"/>
        </w:rPr>
      </w:pPr>
      <w:r w:rsidRPr="0088646B">
        <w:rPr>
          <w:sz w:val="24"/>
          <w:szCs w:val="24"/>
        </w:rPr>
        <w:t xml:space="preserve">forte accentramento di transazioni sul </w:t>
      </w:r>
      <w:r w:rsidRPr="00F50EFB">
        <w:rPr>
          <w:b/>
          <w:sz w:val="24"/>
          <w:szCs w:val="24"/>
        </w:rPr>
        <w:t>parco abitativo usato</w:t>
      </w:r>
      <w:r w:rsidRPr="0088646B">
        <w:rPr>
          <w:sz w:val="24"/>
          <w:szCs w:val="24"/>
        </w:rPr>
        <w:t>, specie nelle aree metropolitane (tendenza prevista dal 68% degli intervistati) e nei contesti urbani del Centro Italia (71%);</w:t>
      </w:r>
    </w:p>
    <w:p w:rsidR="00FF1E1E" w:rsidRPr="0088646B" w:rsidRDefault="00091E8D" w:rsidP="00F463C6">
      <w:pPr>
        <w:pStyle w:val="Paragrafoelenco"/>
        <w:numPr>
          <w:ilvl w:val="0"/>
          <w:numId w:val="7"/>
        </w:numPr>
        <w:spacing w:before="120" w:after="120"/>
        <w:jc w:val="both"/>
        <w:rPr>
          <w:sz w:val="24"/>
          <w:szCs w:val="24"/>
        </w:rPr>
      </w:pPr>
      <w:r w:rsidRPr="0088646B">
        <w:rPr>
          <w:sz w:val="24"/>
          <w:szCs w:val="24"/>
        </w:rPr>
        <w:t xml:space="preserve">stabilità o assai </w:t>
      </w:r>
      <w:r w:rsidRPr="00F50EFB">
        <w:rPr>
          <w:b/>
          <w:sz w:val="24"/>
          <w:szCs w:val="24"/>
        </w:rPr>
        <w:t>moderata crescita delle quotazioni</w:t>
      </w:r>
      <w:r w:rsidRPr="0088646B">
        <w:rPr>
          <w:sz w:val="24"/>
          <w:szCs w:val="24"/>
        </w:rPr>
        <w:t xml:space="preserve">, portate ad accompagnare un mercato via via più dinamico ma ancora poco disposto a riapprezzamenti significativi delle abitazioni, in particolare quelle di nuova </w:t>
      </w:r>
      <w:r w:rsidRPr="008C387B">
        <w:rPr>
          <w:sz w:val="24"/>
          <w:szCs w:val="24"/>
        </w:rPr>
        <w:t>costruzione (</w:t>
      </w:r>
      <w:r w:rsidR="00E82E81" w:rsidRPr="008C387B">
        <w:rPr>
          <w:sz w:val="24"/>
          <w:szCs w:val="24"/>
        </w:rPr>
        <w:t>fig</w:t>
      </w:r>
      <w:r w:rsidRPr="008C387B">
        <w:rPr>
          <w:sz w:val="24"/>
          <w:szCs w:val="24"/>
        </w:rPr>
        <w:t>.1</w:t>
      </w:r>
      <w:r w:rsidR="005A66DF" w:rsidRPr="008C387B">
        <w:rPr>
          <w:sz w:val="24"/>
          <w:szCs w:val="24"/>
        </w:rPr>
        <w:t>3</w:t>
      </w:r>
      <w:r w:rsidRPr="008C387B">
        <w:rPr>
          <w:sz w:val="24"/>
          <w:szCs w:val="24"/>
        </w:rPr>
        <w:t>).</w:t>
      </w:r>
    </w:p>
    <w:p w:rsidR="00091E8D" w:rsidRPr="0088646B" w:rsidRDefault="00091E8D" w:rsidP="00F463C6">
      <w:pPr>
        <w:spacing w:before="120" w:after="120"/>
        <w:jc w:val="both"/>
        <w:rPr>
          <w:sz w:val="24"/>
          <w:szCs w:val="24"/>
        </w:rPr>
      </w:pPr>
      <w:r w:rsidRPr="0088646B">
        <w:rPr>
          <w:sz w:val="24"/>
          <w:szCs w:val="24"/>
        </w:rPr>
        <w:t>Proprio sul piano dei valori il 2016 dovrebbe dunque evidenziare ancora una fase di ristagno. Qualche scatto in avanti potrebbe premiare al più le abitazioni localizzate nelle aree urbane centrali o ben collegate mentre, all’opposto, quelle ultra-periferiche potrebbero addirittura subire ulteriori contrazioni.</w:t>
      </w:r>
      <w:r w:rsidR="00E56801">
        <w:rPr>
          <w:sz w:val="24"/>
          <w:szCs w:val="24"/>
        </w:rPr>
        <w:t xml:space="preserve"> </w:t>
      </w:r>
      <w:r w:rsidRPr="0088646B">
        <w:rPr>
          <w:sz w:val="24"/>
          <w:szCs w:val="24"/>
        </w:rPr>
        <w:t xml:space="preserve">Per effetto del crescente volume di </w:t>
      </w:r>
      <w:r w:rsidRPr="0088646B">
        <w:rPr>
          <w:sz w:val="24"/>
          <w:szCs w:val="24"/>
        </w:rPr>
        <w:lastRenderedPageBreak/>
        <w:t>scambi il vacancy rate, stabile nel corso dell’anno appena trascorso, dovrebbe tendere lentamente a ridursi, a partire dal sottoinsieme delle abitazioni usate.</w:t>
      </w:r>
    </w:p>
    <w:p w:rsidR="004D3A0C" w:rsidRPr="00B25DD6" w:rsidRDefault="004D3A0C" w:rsidP="00B25DD6">
      <w:pPr>
        <w:pStyle w:val="Titolotabella"/>
        <w:ind w:firstLine="708"/>
      </w:pPr>
      <w:r w:rsidRPr="004D3A0C">
        <w:t>Fig.1</w:t>
      </w:r>
      <w:r w:rsidR="005A66DF">
        <w:t>3</w:t>
      </w:r>
      <w:r w:rsidRPr="004D3A0C">
        <w:t xml:space="preserve"> </w:t>
      </w:r>
      <w:r w:rsidR="00E26D59">
        <w:t xml:space="preserve">– </w:t>
      </w:r>
      <w:r w:rsidRPr="004D3A0C">
        <w:t>Gli indicatori di tendenza nel mercato immobiliare residenziale</w:t>
      </w:r>
    </w:p>
    <w:p w:rsidR="00B25DD6" w:rsidRDefault="00B25DD6" w:rsidP="00B25DD6">
      <w:pPr>
        <w:pStyle w:val="StileFonte"/>
        <w:ind w:firstLine="708"/>
        <w:jc w:val="left"/>
        <w:rPr>
          <w:color w:val="000000"/>
        </w:rPr>
      </w:pPr>
      <w:r w:rsidRPr="00B25DD6">
        <w:rPr>
          <w:noProof/>
        </w:rPr>
        <w:drawing>
          <wp:inline distT="0" distB="0" distL="0" distR="0">
            <wp:extent cx="4511040" cy="1798320"/>
            <wp:effectExtent l="0" t="0" r="3810" b="0"/>
            <wp:docPr id="463" name="Immagin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1040" cy="1798320"/>
                    </a:xfrm>
                    <a:prstGeom prst="rect">
                      <a:avLst/>
                    </a:prstGeom>
                    <a:noFill/>
                    <a:ln>
                      <a:noFill/>
                    </a:ln>
                  </pic:spPr>
                </pic:pic>
              </a:graphicData>
            </a:graphic>
          </wp:inline>
        </w:drawing>
      </w:r>
    </w:p>
    <w:p w:rsidR="00873DF1" w:rsidRPr="00F54056" w:rsidRDefault="004D3A0C" w:rsidP="00F54056">
      <w:pPr>
        <w:pStyle w:val="StileFonte"/>
        <w:ind w:firstLine="708"/>
        <w:jc w:val="left"/>
        <w:rPr>
          <w:color w:val="000000"/>
        </w:rPr>
      </w:pPr>
      <w:r>
        <w:rPr>
          <w:color w:val="000000"/>
        </w:rPr>
        <w:t>Fonte: indagine</w:t>
      </w:r>
      <w:r w:rsidRPr="006530A7">
        <w:t xml:space="preserve"> RUR - Yard, 2016</w:t>
      </w:r>
    </w:p>
    <w:p w:rsidR="00091E8D" w:rsidRPr="006530A7" w:rsidRDefault="00091E8D" w:rsidP="00F463C6">
      <w:pPr>
        <w:spacing w:before="120" w:after="120"/>
        <w:jc w:val="both"/>
        <w:rPr>
          <w:b/>
          <w:sz w:val="24"/>
        </w:rPr>
      </w:pPr>
      <w:r w:rsidRPr="006530A7">
        <w:rPr>
          <w:b/>
          <w:sz w:val="24"/>
        </w:rPr>
        <w:t xml:space="preserve">Il 2018 vedrà rafforzata la fase nuovamente espansiva. </w:t>
      </w:r>
      <w:r w:rsidRPr="006530A7">
        <w:rPr>
          <w:sz w:val="24"/>
        </w:rPr>
        <w:t xml:space="preserve">Nel medio periodo gli indicatori di tendenza segnalano un </w:t>
      </w:r>
      <w:r w:rsidR="00725D32" w:rsidRPr="006530A7">
        <w:rPr>
          <w:sz w:val="24"/>
        </w:rPr>
        <w:t>irrobustimento</w:t>
      </w:r>
      <w:r w:rsidRPr="006530A7">
        <w:rPr>
          <w:sz w:val="24"/>
        </w:rPr>
        <w:t xml:space="preserve"> di tutti i fattori positivi che contraddistinguono l’attuale congiuntura. Specie per quanto riguarda il numero delle transazioni il mercato al 2018, secondo opinioni largamente prevalenti, dovrebbe esprimere una rinnovata fase espansiva che, questa volta, interesserà anche il parco residenziale di nuova edificazione. In particolare le aspettative</w:t>
      </w:r>
      <w:r w:rsidR="00F50EFB">
        <w:rPr>
          <w:sz w:val="24"/>
        </w:rPr>
        <w:t xml:space="preserve"> per il 2018 </w:t>
      </w:r>
      <w:r w:rsidRPr="006530A7">
        <w:rPr>
          <w:sz w:val="24"/>
        </w:rPr>
        <w:t>sono per:</w:t>
      </w:r>
    </w:p>
    <w:p w:rsidR="00091E8D" w:rsidRPr="0031643F" w:rsidRDefault="00E23CC0" w:rsidP="00F463C6">
      <w:pPr>
        <w:pStyle w:val="Paragrafoelenco"/>
        <w:numPr>
          <w:ilvl w:val="0"/>
          <w:numId w:val="7"/>
        </w:numPr>
        <w:spacing w:before="120" w:after="120"/>
        <w:jc w:val="both"/>
        <w:rPr>
          <w:sz w:val="24"/>
          <w:szCs w:val="24"/>
        </w:rPr>
      </w:pPr>
      <w:r>
        <w:rPr>
          <w:sz w:val="24"/>
          <w:szCs w:val="24"/>
        </w:rPr>
        <w:t>un’</w:t>
      </w:r>
      <w:r w:rsidR="00091E8D" w:rsidRPr="0031643F">
        <w:rPr>
          <w:sz w:val="24"/>
          <w:szCs w:val="24"/>
        </w:rPr>
        <w:t xml:space="preserve">ulteriore e più </w:t>
      </w:r>
      <w:r w:rsidR="00091E8D" w:rsidRPr="00F50EFB">
        <w:rPr>
          <w:b/>
          <w:sz w:val="24"/>
          <w:szCs w:val="24"/>
        </w:rPr>
        <w:t>sensibile crescita degli scambi</w:t>
      </w:r>
      <w:r w:rsidR="00091E8D" w:rsidRPr="0031643F">
        <w:rPr>
          <w:sz w:val="24"/>
          <w:szCs w:val="24"/>
        </w:rPr>
        <w:t xml:space="preserve"> delle abitazioni esistenti, ancora incentrata prevalentemente sulle città metropolitane ed in genere sull’Italia centrale;</w:t>
      </w:r>
    </w:p>
    <w:p w:rsidR="00091E8D" w:rsidRPr="0031643F" w:rsidRDefault="00934E77" w:rsidP="00F463C6">
      <w:pPr>
        <w:pStyle w:val="Paragrafoelenco"/>
        <w:numPr>
          <w:ilvl w:val="0"/>
          <w:numId w:val="7"/>
        </w:numPr>
        <w:spacing w:before="120" w:after="120"/>
        <w:jc w:val="both"/>
        <w:rPr>
          <w:sz w:val="24"/>
          <w:szCs w:val="24"/>
        </w:rPr>
      </w:pPr>
      <w:r>
        <w:rPr>
          <w:sz w:val="24"/>
          <w:szCs w:val="24"/>
        </w:rPr>
        <w:t xml:space="preserve">sul </w:t>
      </w:r>
      <w:r w:rsidR="00091E8D" w:rsidRPr="0031643F">
        <w:rPr>
          <w:sz w:val="24"/>
          <w:szCs w:val="24"/>
        </w:rPr>
        <w:t xml:space="preserve">fronte delle quotazioni la </w:t>
      </w:r>
      <w:r w:rsidR="00091E8D" w:rsidRPr="00F50EFB">
        <w:rPr>
          <w:b/>
          <w:sz w:val="24"/>
          <w:szCs w:val="24"/>
        </w:rPr>
        <w:t>ripresa dei valori</w:t>
      </w:r>
      <w:r w:rsidR="00091E8D" w:rsidRPr="0031643F">
        <w:rPr>
          <w:sz w:val="24"/>
          <w:szCs w:val="24"/>
        </w:rPr>
        <w:t xml:space="preserve"> premierà in modo più accentuato l’offerta del </w:t>
      </w:r>
      <w:r w:rsidR="00091E8D" w:rsidRPr="00F50EFB">
        <w:rPr>
          <w:b/>
          <w:sz w:val="24"/>
          <w:szCs w:val="24"/>
        </w:rPr>
        <w:t>“nuovo”</w:t>
      </w:r>
      <w:r w:rsidR="00091E8D" w:rsidRPr="0031643F">
        <w:rPr>
          <w:sz w:val="24"/>
          <w:szCs w:val="24"/>
        </w:rPr>
        <w:t>;</w:t>
      </w:r>
    </w:p>
    <w:p w:rsidR="00091E8D" w:rsidRPr="0031643F" w:rsidRDefault="00091E8D" w:rsidP="00F463C6">
      <w:pPr>
        <w:pStyle w:val="Paragrafoelenco"/>
        <w:numPr>
          <w:ilvl w:val="0"/>
          <w:numId w:val="7"/>
        </w:numPr>
        <w:spacing w:before="120" w:after="120"/>
        <w:jc w:val="both"/>
        <w:rPr>
          <w:sz w:val="24"/>
          <w:szCs w:val="24"/>
        </w:rPr>
      </w:pPr>
      <w:r w:rsidRPr="0031643F">
        <w:rPr>
          <w:sz w:val="24"/>
          <w:szCs w:val="24"/>
        </w:rPr>
        <w:t xml:space="preserve">le </w:t>
      </w:r>
      <w:r w:rsidR="00F50EFB">
        <w:rPr>
          <w:b/>
          <w:sz w:val="24"/>
          <w:szCs w:val="24"/>
        </w:rPr>
        <w:t>grandi città del N</w:t>
      </w:r>
      <w:r w:rsidRPr="00F50EFB">
        <w:rPr>
          <w:b/>
          <w:sz w:val="24"/>
          <w:szCs w:val="24"/>
        </w:rPr>
        <w:t>ord Italia</w:t>
      </w:r>
      <w:r w:rsidRPr="0031643F">
        <w:rPr>
          <w:sz w:val="24"/>
          <w:szCs w:val="24"/>
        </w:rPr>
        <w:t xml:space="preserve"> beneficeranno in modo più marcato della crescita dei prezzi, del prodotto usato ma ancor più di quello nuovo. </w:t>
      </w:r>
    </w:p>
    <w:p w:rsidR="00873DF1" w:rsidRDefault="00091E8D" w:rsidP="00F463C6">
      <w:pPr>
        <w:spacing w:before="120" w:after="120"/>
        <w:jc w:val="both"/>
        <w:rPr>
          <w:sz w:val="24"/>
        </w:rPr>
      </w:pPr>
      <w:r w:rsidRPr="006530A7">
        <w:rPr>
          <w:sz w:val="24"/>
        </w:rPr>
        <w:t xml:space="preserve">Tuttavia le tendenze macro appena evidenziate dovranno fare i conti con una domanda assai più selettiva che in passato. Un elemento, questo, che avrà i più evidenti riflessi sul sistema delle quotazioni. In sostanza andiamo incontro ad un mercato fortemente incentrato sui fattori che maggiormente rilevano nelle aspettative degli acquirenti, a partire dalle condizioni localizzative </w:t>
      </w:r>
      <w:r w:rsidR="00E82E81" w:rsidRPr="006530A7">
        <w:rPr>
          <w:sz w:val="24"/>
        </w:rPr>
        <w:t xml:space="preserve">degli immobili. Infatti, come </w:t>
      </w:r>
      <w:r w:rsidR="00F50EFB" w:rsidRPr="008C387B">
        <w:rPr>
          <w:sz w:val="24"/>
        </w:rPr>
        <w:t>evidenzia</w:t>
      </w:r>
      <w:r w:rsidR="00F50EFB" w:rsidRPr="006530A7">
        <w:rPr>
          <w:sz w:val="24"/>
        </w:rPr>
        <w:t xml:space="preserve"> </w:t>
      </w:r>
      <w:r w:rsidR="00E82E81" w:rsidRPr="006530A7">
        <w:rPr>
          <w:sz w:val="24"/>
        </w:rPr>
        <w:t>la</w:t>
      </w:r>
      <w:r w:rsidRPr="006530A7">
        <w:rPr>
          <w:sz w:val="24"/>
        </w:rPr>
        <w:t xml:space="preserve"> </w:t>
      </w:r>
      <w:r w:rsidR="00E23CC0" w:rsidRPr="008C387B">
        <w:rPr>
          <w:sz w:val="24"/>
        </w:rPr>
        <w:t xml:space="preserve">figura </w:t>
      </w:r>
      <w:r w:rsidR="00E82E81" w:rsidRPr="008C387B">
        <w:rPr>
          <w:sz w:val="24"/>
        </w:rPr>
        <w:t>1</w:t>
      </w:r>
      <w:r w:rsidR="005A66DF" w:rsidRPr="008C387B">
        <w:rPr>
          <w:sz w:val="24"/>
        </w:rPr>
        <w:t>4</w:t>
      </w:r>
      <w:r w:rsidRPr="006530A7">
        <w:rPr>
          <w:sz w:val="24"/>
        </w:rPr>
        <w:t xml:space="preserve">, le variazioni attese per i valori medi delle residenze ubicate nei quartieri centrali o comunque ben collegati si distinguono nettamente da quelle delle </w:t>
      </w:r>
      <w:r w:rsidRPr="006530A7">
        <w:rPr>
          <w:sz w:val="24"/>
        </w:rPr>
        <w:lastRenderedPageBreak/>
        <w:t>abitazioni periferiche o collocate ai margini del tessuto urbano; nel primo caso le tendenze, pur prevalenti, alla stabilità dei prezzi si associano con maggiore frequenza alle previsioni di crescita che addirittura prevalgono nel caso delle città medio grandi. Mentre i valori potrebbero rimanere al palo per le abitazioni via via più decentrate rispetto al centro urbano fin verso le estreme periferie.</w:t>
      </w:r>
    </w:p>
    <w:p w:rsidR="00DC7BB1" w:rsidRPr="00A45217" w:rsidRDefault="004D3A0C" w:rsidP="00A45217">
      <w:pPr>
        <w:pStyle w:val="Titolotabella"/>
        <w:ind w:left="851"/>
      </w:pPr>
      <w:r w:rsidRPr="004D3A0C">
        <w:t>Fig.1</w:t>
      </w:r>
      <w:r w:rsidR="005A66DF">
        <w:t>4</w:t>
      </w:r>
      <w:r w:rsidRPr="004D3A0C">
        <w:t xml:space="preserve"> </w:t>
      </w:r>
      <w:r w:rsidR="00E26D59">
        <w:t xml:space="preserve">– </w:t>
      </w:r>
      <w:r w:rsidRPr="004D3A0C">
        <w:t>Le variazioni dei valori medi nel mercato degli immobili residenziali</w:t>
      </w:r>
    </w:p>
    <w:p w:rsidR="00A45217" w:rsidRDefault="00A45217" w:rsidP="00A45217">
      <w:pPr>
        <w:pStyle w:val="StileFonte"/>
        <w:ind w:firstLine="708"/>
        <w:jc w:val="left"/>
        <w:rPr>
          <w:color w:val="000000"/>
        </w:rPr>
      </w:pPr>
      <w:r w:rsidRPr="00A45217">
        <w:rPr>
          <w:noProof/>
        </w:rPr>
        <w:drawing>
          <wp:inline distT="0" distB="0" distL="0" distR="0">
            <wp:extent cx="4511040" cy="2011680"/>
            <wp:effectExtent l="0" t="0" r="3810" b="7620"/>
            <wp:docPr id="464" name="Immagin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1040" cy="2011680"/>
                    </a:xfrm>
                    <a:prstGeom prst="rect">
                      <a:avLst/>
                    </a:prstGeom>
                    <a:noFill/>
                    <a:ln>
                      <a:noFill/>
                    </a:ln>
                  </pic:spPr>
                </pic:pic>
              </a:graphicData>
            </a:graphic>
          </wp:inline>
        </w:drawing>
      </w:r>
    </w:p>
    <w:p w:rsidR="00873DF1" w:rsidRPr="00A45217" w:rsidRDefault="008D04F1" w:rsidP="00A45217">
      <w:pPr>
        <w:pStyle w:val="StileFonte"/>
        <w:ind w:firstLine="708"/>
        <w:jc w:val="left"/>
        <w:rPr>
          <w:color w:val="000000"/>
        </w:rPr>
      </w:pPr>
      <w:r>
        <w:rPr>
          <w:color w:val="000000"/>
        </w:rPr>
        <w:t>Fonte: indagine</w:t>
      </w:r>
      <w:r w:rsidR="00FF1E1E">
        <w:t xml:space="preserve"> RUR - Yard, 2016</w:t>
      </w:r>
    </w:p>
    <w:p w:rsidR="00091E8D" w:rsidRPr="006530A7" w:rsidRDefault="00091E8D" w:rsidP="00F54056">
      <w:pPr>
        <w:pStyle w:val="Titolo2"/>
        <w:numPr>
          <w:ilvl w:val="1"/>
          <w:numId w:val="16"/>
        </w:numPr>
        <w:spacing w:before="640" w:after="320"/>
        <w:ind w:left="0" w:firstLine="0"/>
        <w:rPr>
          <w:rFonts w:asciiTheme="minorHAnsi" w:hAnsiTheme="minorHAnsi"/>
          <w:color w:val="auto"/>
        </w:rPr>
      </w:pPr>
      <w:bookmarkStart w:id="10" w:name="_Toc445539593"/>
      <w:r w:rsidRPr="006530A7">
        <w:rPr>
          <w:rFonts w:asciiTheme="minorHAnsi" w:hAnsiTheme="minorHAnsi"/>
          <w:color w:val="auto"/>
        </w:rPr>
        <w:t xml:space="preserve">Ancora in sofferenza </w:t>
      </w:r>
      <w:r w:rsidR="003672E6">
        <w:rPr>
          <w:rFonts w:asciiTheme="minorHAnsi" w:hAnsiTheme="minorHAnsi"/>
          <w:color w:val="auto"/>
        </w:rPr>
        <w:t>gli immobili per il terziario</w:t>
      </w:r>
      <w:bookmarkEnd w:id="10"/>
    </w:p>
    <w:p w:rsidR="00091E8D" w:rsidRPr="006530A7" w:rsidRDefault="00091E8D" w:rsidP="00F463C6">
      <w:pPr>
        <w:spacing w:before="120" w:after="120"/>
        <w:jc w:val="both"/>
        <w:rPr>
          <w:sz w:val="24"/>
        </w:rPr>
      </w:pPr>
      <w:r w:rsidRPr="006530A7">
        <w:rPr>
          <w:sz w:val="24"/>
        </w:rPr>
        <w:t xml:space="preserve">Di basso tenore l’intero comparto </w:t>
      </w:r>
      <w:r w:rsidRPr="006530A7">
        <w:rPr>
          <w:b/>
          <w:sz w:val="24"/>
        </w:rPr>
        <w:t>non residenziale</w:t>
      </w:r>
      <w:r w:rsidRPr="006530A7">
        <w:rPr>
          <w:sz w:val="24"/>
        </w:rPr>
        <w:t xml:space="preserve"> che non appare ancora essersi liberato della lunga fase recessiva. Il quadro tracciato dall’indagine lascia intendere che occorrerà ancora aspettare prima che abbia luogo una chiara inversione di tendenza. Secondo le </w:t>
      </w:r>
      <w:r w:rsidRPr="006530A7">
        <w:rPr>
          <w:b/>
          <w:sz w:val="24"/>
        </w:rPr>
        <w:t xml:space="preserve">previsioni per il 2016 </w:t>
      </w:r>
      <w:r w:rsidRPr="008C387B">
        <w:rPr>
          <w:sz w:val="24"/>
        </w:rPr>
        <w:t>(</w:t>
      </w:r>
      <w:r w:rsidR="00A66DFB" w:rsidRPr="008C387B">
        <w:rPr>
          <w:sz w:val="24"/>
        </w:rPr>
        <w:t>fig.</w:t>
      </w:r>
      <w:r w:rsidR="00E56801" w:rsidRPr="008C387B">
        <w:rPr>
          <w:sz w:val="24"/>
        </w:rPr>
        <w:t xml:space="preserve"> </w:t>
      </w:r>
      <w:r w:rsidR="00A66DFB" w:rsidRPr="008C387B">
        <w:rPr>
          <w:sz w:val="24"/>
        </w:rPr>
        <w:t>1</w:t>
      </w:r>
      <w:r w:rsidR="005A66DF" w:rsidRPr="008C387B">
        <w:rPr>
          <w:sz w:val="24"/>
        </w:rPr>
        <w:t>5</w:t>
      </w:r>
      <w:r w:rsidRPr="008C387B">
        <w:rPr>
          <w:sz w:val="24"/>
        </w:rPr>
        <w:t>):</w:t>
      </w:r>
    </w:p>
    <w:p w:rsidR="00091E8D" w:rsidRPr="0031643F" w:rsidRDefault="00091E8D" w:rsidP="00F463C6">
      <w:pPr>
        <w:pStyle w:val="Paragrafoelenco"/>
        <w:numPr>
          <w:ilvl w:val="0"/>
          <w:numId w:val="7"/>
        </w:numPr>
        <w:spacing w:before="120" w:after="120"/>
        <w:jc w:val="both"/>
        <w:rPr>
          <w:sz w:val="24"/>
          <w:szCs w:val="24"/>
        </w:rPr>
      </w:pPr>
      <w:r w:rsidRPr="0031643F">
        <w:rPr>
          <w:sz w:val="24"/>
          <w:szCs w:val="24"/>
        </w:rPr>
        <w:t xml:space="preserve">a soffrire maggiormente sarà il </w:t>
      </w:r>
      <w:r w:rsidRPr="00F50EFB">
        <w:rPr>
          <w:b/>
          <w:sz w:val="24"/>
          <w:szCs w:val="24"/>
        </w:rPr>
        <w:t>mercato degli uffici</w:t>
      </w:r>
      <w:r w:rsidRPr="0031643F">
        <w:rPr>
          <w:sz w:val="24"/>
          <w:szCs w:val="24"/>
        </w:rPr>
        <w:t xml:space="preserve"> per il quale le compravendite, in particolare al Nord ed al Centro Italia, potranno addirittura subire un’ulteriore </w:t>
      </w:r>
      <w:r w:rsidRPr="00F50EFB">
        <w:rPr>
          <w:b/>
          <w:sz w:val="24"/>
          <w:szCs w:val="24"/>
        </w:rPr>
        <w:t>contrazione</w:t>
      </w:r>
      <w:r w:rsidRPr="0031643F">
        <w:rPr>
          <w:sz w:val="24"/>
          <w:szCs w:val="24"/>
        </w:rPr>
        <w:t xml:space="preserve">, attesa dalla maggior parte del campione intervistato. Contestualmente dovrebbero arretrare anche le quotazioni; soltanto nel </w:t>
      </w:r>
      <w:r w:rsidR="00F50EFB">
        <w:rPr>
          <w:sz w:val="24"/>
          <w:szCs w:val="24"/>
        </w:rPr>
        <w:t>S</w:t>
      </w:r>
      <w:r w:rsidRPr="0031643F">
        <w:rPr>
          <w:sz w:val="24"/>
          <w:szCs w:val="24"/>
        </w:rPr>
        <w:t xml:space="preserve">ud si manterranno invariate; </w:t>
      </w:r>
    </w:p>
    <w:p w:rsidR="00091E8D" w:rsidRPr="0031643F" w:rsidRDefault="00091E8D" w:rsidP="00F463C6">
      <w:pPr>
        <w:pStyle w:val="Paragrafoelenco"/>
        <w:numPr>
          <w:ilvl w:val="0"/>
          <w:numId w:val="7"/>
        </w:numPr>
        <w:spacing w:before="120" w:after="120"/>
        <w:jc w:val="both"/>
        <w:rPr>
          <w:sz w:val="24"/>
          <w:szCs w:val="24"/>
        </w:rPr>
      </w:pPr>
      <w:r w:rsidRPr="0031643F">
        <w:rPr>
          <w:sz w:val="24"/>
          <w:szCs w:val="24"/>
        </w:rPr>
        <w:t xml:space="preserve">parimenti in sofferenza il segmento degli </w:t>
      </w:r>
      <w:r w:rsidRPr="00F50EFB">
        <w:rPr>
          <w:b/>
          <w:sz w:val="24"/>
          <w:szCs w:val="24"/>
        </w:rPr>
        <w:t>immobili industriali</w:t>
      </w:r>
      <w:r w:rsidRPr="0031643F">
        <w:rPr>
          <w:sz w:val="24"/>
          <w:szCs w:val="24"/>
        </w:rPr>
        <w:t xml:space="preserve"> per i quali è atteso un calo del numero delle transazioni ed una contrazione dei valori, nel Centro Sud più che al Nord;</w:t>
      </w:r>
    </w:p>
    <w:p w:rsidR="004D3A0C" w:rsidRPr="00F54056" w:rsidRDefault="00091E8D" w:rsidP="00F463C6">
      <w:pPr>
        <w:pStyle w:val="Paragrafoelenco"/>
        <w:numPr>
          <w:ilvl w:val="0"/>
          <w:numId w:val="7"/>
        </w:numPr>
        <w:spacing w:before="120" w:after="120"/>
        <w:jc w:val="both"/>
        <w:rPr>
          <w:sz w:val="24"/>
          <w:szCs w:val="24"/>
        </w:rPr>
      </w:pPr>
      <w:r w:rsidRPr="0031643F">
        <w:rPr>
          <w:sz w:val="24"/>
          <w:szCs w:val="24"/>
        </w:rPr>
        <w:lastRenderedPageBreak/>
        <w:t xml:space="preserve">appena meno sfavorevoli le aspettative relative al segmento </w:t>
      </w:r>
      <w:r w:rsidRPr="00F50EFB">
        <w:rPr>
          <w:b/>
          <w:sz w:val="24"/>
          <w:szCs w:val="24"/>
        </w:rPr>
        <w:t xml:space="preserve">commerciale </w:t>
      </w:r>
      <w:r w:rsidRPr="0031643F">
        <w:rPr>
          <w:sz w:val="24"/>
          <w:szCs w:val="24"/>
        </w:rPr>
        <w:t>che dovrebbe scontare un’ulteriore arretramento dei prezzi esteso a tutte le città e generalizzato territorialmente; quanto agli scambi una maggiore capacità di tenuta dovrebbe essere limitata ai mercati metropolitani del Nord Italia.</w:t>
      </w:r>
    </w:p>
    <w:p w:rsidR="0054378C" w:rsidRPr="0054378C" w:rsidRDefault="004D3A0C" w:rsidP="0054378C">
      <w:pPr>
        <w:pStyle w:val="Titolotabella"/>
        <w:jc w:val="left"/>
      </w:pPr>
      <w:r w:rsidRPr="004D3A0C">
        <w:t>Fig.1</w:t>
      </w:r>
      <w:r w:rsidR="005A66DF">
        <w:t>5</w:t>
      </w:r>
      <w:r w:rsidRPr="004D3A0C">
        <w:t xml:space="preserve"> </w:t>
      </w:r>
      <w:r w:rsidR="00E26D59">
        <w:t xml:space="preserve">– </w:t>
      </w:r>
      <w:r w:rsidRPr="004D3A0C">
        <w:t>Gli indicatori di tendenza per il 2016 nel mercato immobiliare extra residenziale per Grandi Ripartizioni Territoriali</w:t>
      </w:r>
    </w:p>
    <w:p w:rsidR="0054378C" w:rsidRDefault="0054378C" w:rsidP="004D3A0C">
      <w:pPr>
        <w:pStyle w:val="StileFonte"/>
        <w:jc w:val="left"/>
        <w:rPr>
          <w:color w:val="000000"/>
        </w:rPr>
      </w:pPr>
      <w:r w:rsidRPr="0054378C">
        <w:rPr>
          <w:noProof/>
        </w:rPr>
        <w:drawing>
          <wp:inline distT="0" distB="0" distL="0" distR="0">
            <wp:extent cx="5400040" cy="1892728"/>
            <wp:effectExtent l="0" t="0" r="0" b="0"/>
            <wp:docPr id="469" name="Immagin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892728"/>
                    </a:xfrm>
                    <a:prstGeom prst="rect">
                      <a:avLst/>
                    </a:prstGeom>
                    <a:noFill/>
                    <a:ln>
                      <a:noFill/>
                    </a:ln>
                  </pic:spPr>
                </pic:pic>
              </a:graphicData>
            </a:graphic>
          </wp:inline>
        </w:drawing>
      </w:r>
    </w:p>
    <w:p w:rsidR="00FF1E1E" w:rsidRDefault="008D04F1" w:rsidP="004D3A0C">
      <w:pPr>
        <w:pStyle w:val="StileFonte"/>
        <w:jc w:val="left"/>
      </w:pPr>
      <w:r>
        <w:rPr>
          <w:color w:val="000000"/>
        </w:rPr>
        <w:t>Fonte: indagine</w:t>
      </w:r>
      <w:r w:rsidR="00FF1E1E" w:rsidRPr="006530A7">
        <w:t xml:space="preserve"> RUR - Yard, 2016</w:t>
      </w:r>
    </w:p>
    <w:p w:rsidR="00091E8D" w:rsidRPr="006530A7" w:rsidRDefault="00091E8D" w:rsidP="00F463C6">
      <w:pPr>
        <w:spacing w:before="120" w:after="120"/>
        <w:jc w:val="both"/>
        <w:rPr>
          <w:sz w:val="24"/>
        </w:rPr>
      </w:pPr>
      <w:r w:rsidRPr="006530A7">
        <w:rPr>
          <w:b/>
          <w:sz w:val="24"/>
        </w:rPr>
        <w:t xml:space="preserve">Lo scenario al 2018 </w:t>
      </w:r>
      <w:r w:rsidRPr="008C387B">
        <w:rPr>
          <w:sz w:val="24"/>
        </w:rPr>
        <w:t>(</w:t>
      </w:r>
      <w:r w:rsidR="0010063B" w:rsidRPr="008C387B">
        <w:rPr>
          <w:sz w:val="24"/>
        </w:rPr>
        <w:t>fig. 1</w:t>
      </w:r>
      <w:r w:rsidR="005A66DF" w:rsidRPr="008C387B">
        <w:rPr>
          <w:sz w:val="24"/>
        </w:rPr>
        <w:t>6</w:t>
      </w:r>
      <w:r w:rsidRPr="008C387B">
        <w:rPr>
          <w:sz w:val="24"/>
        </w:rPr>
        <w:t>) descrive</w:t>
      </w:r>
      <w:r w:rsidRPr="006530A7">
        <w:rPr>
          <w:sz w:val="24"/>
        </w:rPr>
        <w:t xml:space="preserve"> nell’insieme un panorama di minore sofferenza. La generale tendenza alla stabilità, come condizione persistente almeno per alcune tipologie di prodotto, incontrerà alcune caratterizzazioni specifiche sia in chiave territoriale sia per quanto riguarda l’andamento dei singoli sotto mercati:</w:t>
      </w:r>
    </w:p>
    <w:p w:rsidR="00091E8D" w:rsidRPr="0031643F" w:rsidRDefault="00091E8D" w:rsidP="00F463C6">
      <w:pPr>
        <w:pStyle w:val="Paragrafoelenco"/>
        <w:numPr>
          <w:ilvl w:val="0"/>
          <w:numId w:val="7"/>
        </w:numPr>
        <w:spacing w:before="120" w:after="120"/>
        <w:jc w:val="both"/>
        <w:rPr>
          <w:sz w:val="24"/>
          <w:szCs w:val="24"/>
        </w:rPr>
      </w:pPr>
      <w:r w:rsidRPr="0031643F">
        <w:rPr>
          <w:sz w:val="24"/>
          <w:szCs w:val="24"/>
        </w:rPr>
        <w:t xml:space="preserve">nel segmento </w:t>
      </w:r>
      <w:r w:rsidRPr="00F50EFB">
        <w:rPr>
          <w:b/>
          <w:sz w:val="24"/>
          <w:szCs w:val="24"/>
        </w:rPr>
        <w:t>terziario uffici</w:t>
      </w:r>
      <w:r w:rsidRPr="0031643F">
        <w:rPr>
          <w:sz w:val="24"/>
          <w:szCs w:val="24"/>
        </w:rPr>
        <w:t xml:space="preserve"> le dinamiche che riguardano tanto i volumi scambiati quanto i valori praticati dovrebbero risultare meno penalizzanti nelle città del Sud e delle Isole;</w:t>
      </w:r>
    </w:p>
    <w:p w:rsidR="00091E8D" w:rsidRPr="0031643F" w:rsidRDefault="00091E8D" w:rsidP="00F463C6">
      <w:pPr>
        <w:pStyle w:val="Paragrafoelenco"/>
        <w:numPr>
          <w:ilvl w:val="0"/>
          <w:numId w:val="7"/>
        </w:numPr>
        <w:spacing w:before="120" w:after="120"/>
        <w:jc w:val="both"/>
        <w:rPr>
          <w:sz w:val="24"/>
          <w:szCs w:val="24"/>
        </w:rPr>
      </w:pPr>
      <w:r w:rsidRPr="0031643F">
        <w:rPr>
          <w:sz w:val="24"/>
          <w:szCs w:val="24"/>
        </w:rPr>
        <w:t xml:space="preserve">analoga aspettativa, ma limitatamente alla consistenza degli scambi, è riservata al comparto degli </w:t>
      </w:r>
      <w:r w:rsidRPr="00F50EFB">
        <w:rPr>
          <w:b/>
          <w:sz w:val="24"/>
          <w:szCs w:val="24"/>
        </w:rPr>
        <w:t>immobili commerciali</w:t>
      </w:r>
      <w:r w:rsidRPr="0031643F">
        <w:rPr>
          <w:sz w:val="24"/>
          <w:szCs w:val="24"/>
        </w:rPr>
        <w:t>;</w:t>
      </w:r>
    </w:p>
    <w:p w:rsidR="00091E8D" w:rsidRDefault="00091E8D" w:rsidP="00F463C6">
      <w:pPr>
        <w:pStyle w:val="Paragrafoelenco"/>
        <w:numPr>
          <w:ilvl w:val="0"/>
          <w:numId w:val="7"/>
        </w:numPr>
        <w:spacing w:before="120" w:after="120"/>
        <w:jc w:val="both"/>
        <w:rPr>
          <w:sz w:val="24"/>
          <w:szCs w:val="24"/>
        </w:rPr>
      </w:pPr>
      <w:r w:rsidRPr="0031643F">
        <w:rPr>
          <w:sz w:val="24"/>
          <w:szCs w:val="24"/>
        </w:rPr>
        <w:t xml:space="preserve">mentre per ciò che riguarda gli edifici destinati </w:t>
      </w:r>
      <w:r w:rsidRPr="00F50EFB">
        <w:rPr>
          <w:b/>
          <w:sz w:val="24"/>
          <w:szCs w:val="24"/>
        </w:rPr>
        <w:t>alla logistica e all’industria</w:t>
      </w:r>
      <w:r w:rsidRPr="0031643F">
        <w:rPr>
          <w:sz w:val="24"/>
          <w:szCs w:val="24"/>
        </w:rPr>
        <w:t xml:space="preserve"> il mercato rimarrà stabilizzato o, semmai, con variazioni improntate ad un ulteriore ribasso.</w:t>
      </w:r>
    </w:p>
    <w:p w:rsidR="00873DF1" w:rsidRDefault="00873DF1" w:rsidP="00873DF1">
      <w:pPr>
        <w:ind w:left="360"/>
        <w:jc w:val="both"/>
        <w:rPr>
          <w:sz w:val="24"/>
          <w:szCs w:val="24"/>
        </w:rPr>
      </w:pPr>
    </w:p>
    <w:p w:rsidR="00873DF1" w:rsidRDefault="00873DF1" w:rsidP="00873DF1">
      <w:pPr>
        <w:pStyle w:val="Titolotabella"/>
        <w:jc w:val="left"/>
      </w:pPr>
    </w:p>
    <w:p w:rsidR="0060183B" w:rsidRPr="0060183B" w:rsidRDefault="00873DF1" w:rsidP="0060183B">
      <w:pPr>
        <w:pStyle w:val="Titolotabella"/>
        <w:jc w:val="left"/>
      </w:pPr>
      <w:r w:rsidRPr="00873DF1">
        <w:lastRenderedPageBreak/>
        <w:t>Fig.1</w:t>
      </w:r>
      <w:r w:rsidR="005A66DF">
        <w:t>6</w:t>
      </w:r>
      <w:r w:rsidRPr="00873DF1">
        <w:t xml:space="preserve"> </w:t>
      </w:r>
      <w:r w:rsidR="00E26D59">
        <w:t xml:space="preserve">– </w:t>
      </w:r>
      <w:r w:rsidRPr="00873DF1">
        <w:t>Gli indicatori di tendenza per il 2018 nel mercato immobiliare extra residenziale per Grandi Ripartizioni Territoriali</w:t>
      </w:r>
    </w:p>
    <w:p w:rsidR="0060183B" w:rsidRDefault="0060183B" w:rsidP="00873DF1">
      <w:pPr>
        <w:pStyle w:val="StileFonte"/>
        <w:jc w:val="left"/>
        <w:rPr>
          <w:color w:val="000000"/>
        </w:rPr>
      </w:pPr>
      <w:r w:rsidRPr="0060183B">
        <w:rPr>
          <w:noProof/>
        </w:rPr>
        <w:drawing>
          <wp:inline distT="0" distB="0" distL="0" distR="0">
            <wp:extent cx="5400040" cy="1892728"/>
            <wp:effectExtent l="0" t="0" r="0" b="0"/>
            <wp:docPr id="473" name="Immagin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1892728"/>
                    </a:xfrm>
                    <a:prstGeom prst="rect">
                      <a:avLst/>
                    </a:prstGeom>
                    <a:noFill/>
                    <a:ln>
                      <a:noFill/>
                    </a:ln>
                  </pic:spPr>
                </pic:pic>
              </a:graphicData>
            </a:graphic>
          </wp:inline>
        </w:drawing>
      </w:r>
    </w:p>
    <w:p w:rsidR="00FF1E1E" w:rsidRPr="00FF1E1E" w:rsidRDefault="008D04F1" w:rsidP="00873DF1">
      <w:pPr>
        <w:pStyle w:val="StileFonte"/>
        <w:jc w:val="left"/>
        <w:rPr>
          <w:sz w:val="24"/>
        </w:rPr>
      </w:pPr>
      <w:r>
        <w:rPr>
          <w:color w:val="000000"/>
        </w:rPr>
        <w:t>Fonte: indagine</w:t>
      </w:r>
      <w:r w:rsidR="00FF1E1E" w:rsidRPr="006530A7">
        <w:t xml:space="preserve"> RUR - Yard, 2016</w:t>
      </w:r>
    </w:p>
    <w:p w:rsidR="00873DF1" w:rsidRDefault="00091E8D" w:rsidP="00FF1E1E">
      <w:pPr>
        <w:spacing w:before="120" w:after="120"/>
        <w:jc w:val="both"/>
        <w:rPr>
          <w:sz w:val="24"/>
          <w:szCs w:val="24"/>
        </w:rPr>
      </w:pPr>
      <w:r w:rsidRPr="00FF1E1E">
        <w:rPr>
          <w:sz w:val="24"/>
          <w:szCs w:val="24"/>
        </w:rPr>
        <w:t xml:space="preserve">Più in particolare le variazioni dei valori medi previste nelle grandi e nelle medie città </w:t>
      </w:r>
      <w:r w:rsidR="00F50EFB">
        <w:rPr>
          <w:sz w:val="24"/>
          <w:szCs w:val="24"/>
        </w:rPr>
        <w:t>evidenziano</w:t>
      </w:r>
      <w:r w:rsidRPr="00FF1E1E">
        <w:rPr>
          <w:sz w:val="24"/>
          <w:szCs w:val="24"/>
        </w:rPr>
        <w:t xml:space="preserve"> uno scenario in lenta evoluzione almeno nel caso dei negozi centrali delle medie città e degli uffici “cielo-terra” situati nelle metropoli. Generalmente più critiche le aspettative </w:t>
      </w:r>
      <w:r w:rsidR="00F50EFB">
        <w:rPr>
          <w:sz w:val="24"/>
          <w:szCs w:val="24"/>
        </w:rPr>
        <w:t>per i valori della</w:t>
      </w:r>
      <w:r w:rsidRPr="00FF1E1E">
        <w:rPr>
          <w:sz w:val="24"/>
          <w:szCs w:val="24"/>
        </w:rPr>
        <w:t xml:space="preserve"> logistica per entrambe le tipologie urbane </w:t>
      </w:r>
      <w:r w:rsidRPr="008C387B">
        <w:rPr>
          <w:sz w:val="24"/>
          <w:szCs w:val="24"/>
        </w:rPr>
        <w:t>considerate (</w:t>
      </w:r>
      <w:r w:rsidR="00B51A78" w:rsidRPr="008C387B">
        <w:rPr>
          <w:sz w:val="24"/>
          <w:szCs w:val="24"/>
        </w:rPr>
        <w:t>fig. 1</w:t>
      </w:r>
      <w:r w:rsidR="005A66DF" w:rsidRPr="008C387B">
        <w:rPr>
          <w:sz w:val="24"/>
          <w:szCs w:val="24"/>
        </w:rPr>
        <w:t>7</w:t>
      </w:r>
      <w:r w:rsidRPr="008C387B">
        <w:rPr>
          <w:sz w:val="24"/>
          <w:szCs w:val="24"/>
        </w:rPr>
        <w:t>). Il</w:t>
      </w:r>
      <w:r w:rsidRPr="00FF1E1E">
        <w:rPr>
          <w:sz w:val="24"/>
          <w:szCs w:val="24"/>
        </w:rPr>
        <w:t xml:space="preserve"> quadro così rappresentato genererà solo una lenta ancorch</w:t>
      </w:r>
      <w:r w:rsidR="00B51A78" w:rsidRPr="00FF1E1E">
        <w:rPr>
          <w:sz w:val="24"/>
          <w:szCs w:val="24"/>
        </w:rPr>
        <w:t>é</w:t>
      </w:r>
      <w:r w:rsidRPr="00FF1E1E">
        <w:rPr>
          <w:sz w:val="24"/>
          <w:szCs w:val="24"/>
        </w:rPr>
        <w:t xml:space="preserve"> progressiva riduzione del vacancy rate.</w:t>
      </w:r>
    </w:p>
    <w:p w:rsidR="003A29E5" w:rsidRPr="003A29E5" w:rsidRDefault="00873DF1" w:rsidP="003A29E5">
      <w:pPr>
        <w:pStyle w:val="Titolotabella"/>
        <w:ind w:left="851"/>
        <w:jc w:val="left"/>
      </w:pPr>
      <w:r w:rsidRPr="00873DF1">
        <w:t>Fig.1</w:t>
      </w:r>
      <w:r w:rsidR="005A66DF">
        <w:t>7</w:t>
      </w:r>
      <w:r w:rsidRPr="00873DF1">
        <w:t xml:space="preserve"> </w:t>
      </w:r>
      <w:r w:rsidR="00E26D59">
        <w:t xml:space="preserve">– </w:t>
      </w:r>
      <w:r w:rsidRPr="00873DF1">
        <w:t>Le variazioni dei valori medi nel mercato immobiliare extra residenziale</w:t>
      </w:r>
    </w:p>
    <w:p w:rsidR="003A29E5" w:rsidRDefault="003A29E5" w:rsidP="003A29E5">
      <w:pPr>
        <w:pStyle w:val="StileFonte"/>
        <w:ind w:left="851"/>
        <w:rPr>
          <w:color w:val="000000"/>
        </w:rPr>
      </w:pPr>
      <w:r w:rsidRPr="003A29E5">
        <w:rPr>
          <w:noProof/>
        </w:rPr>
        <w:drawing>
          <wp:inline distT="0" distB="0" distL="0" distR="0">
            <wp:extent cx="4511040" cy="2011680"/>
            <wp:effectExtent l="0" t="0" r="3810" b="7620"/>
            <wp:docPr id="474" name="Immagin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1040" cy="2011680"/>
                    </a:xfrm>
                    <a:prstGeom prst="rect">
                      <a:avLst/>
                    </a:prstGeom>
                    <a:noFill/>
                    <a:ln>
                      <a:noFill/>
                    </a:ln>
                  </pic:spPr>
                </pic:pic>
              </a:graphicData>
            </a:graphic>
          </wp:inline>
        </w:drawing>
      </w:r>
    </w:p>
    <w:p w:rsidR="006B1359" w:rsidRPr="00FF1E1E" w:rsidRDefault="008D04F1" w:rsidP="00873DF1">
      <w:pPr>
        <w:pStyle w:val="StileFonte"/>
        <w:ind w:left="851"/>
        <w:rPr>
          <w:sz w:val="24"/>
        </w:rPr>
      </w:pPr>
      <w:r>
        <w:rPr>
          <w:color w:val="000000"/>
        </w:rPr>
        <w:t>Fonte: indagine</w:t>
      </w:r>
      <w:r w:rsidR="00FF1E1E" w:rsidRPr="006530A7">
        <w:t xml:space="preserve"> RUR - Yard, 2016</w:t>
      </w:r>
    </w:p>
    <w:p w:rsidR="00091E8D" w:rsidRPr="006530A7" w:rsidRDefault="00091E8D" w:rsidP="00822ADA">
      <w:pPr>
        <w:pStyle w:val="Titolo2"/>
        <w:numPr>
          <w:ilvl w:val="1"/>
          <w:numId w:val="16"/>
        </w:numPr>
        <w:spacing w:before="640" w:after="320"/>
        <w:ind w:left="0" w:firstLine="0"/>
        <w:rPr>
          <w:rFonts w:asciiTheme="minorHAnsi" w:hAnsiTheme="minorHAnsi"/>
          <w:color w:val="auto"/>
        </w:rPr>
      </w:pPr>
      <w:r w:rsidRPr="006530A7">
        <w:rPr>
          <w:rFonts w:asciiTheme="minorHAnsi" w:hAnsiTheme="minorHAnsi"/>
          <w:color w:val="auto"/>
        </w:rPr>
        <w:lastRenderedPageBreak/>
        <w:t xml:space="preserve"> </w:t>
      </w:r>
      <w:bookmarkStart w:id="11" w:name="_Toc445539594"/>
      <w:r w:rsidR="00B4005B">
        <w:rPr>
          <w:rFonts w:asciiTheme="minorHAnsi" w:hAnsiTheme="minorHAnsi"/>
          <w:color w:val="auto"/>
        </w:rPr>
        <w:t xml:space="preserve">Nettamente positivo </w:t>
      </w:r>
      <w:r w:rsidR="00EB2883">
        <w:rPr>
          <w:rFonts w:asciiTheme="minorHAnsi" w:hAnsiTheme="minorHAnsi"/>
          <w:color w:val="auto"/>
        </w:rPr>
        <w:t>i</w:t>
      </w:r>
      <w:r w:rsidRPr="006530A7">
        <w:rPr>
          <w:rFonts w:asciiTheme="minorHAnsi" w:hAnsiTheme="minorHAnsi"/>
          <w:color w:val="auto"/>
        </w:rPr>
        <w:t xml:space="preserve">l </w:t>
      </w:r>
      <w:r w:rsidRPr="003672E6">
        <w:rPr>
          <w:rFonts w:asciiTheme="minorHAnsi" w:hAnsiTheme="minorHAnsi"/>
          <w:i/>
          <w:color w:val="auto"/>
        </w:rPr>
        <w:t>sentiment</w:t>
      </w:r>
      <w:r w:rsidRPr="00822ADA">
        <w:rPr>
          <w:rFonts w:asciiTheme="minorHAnsi" w:hAnsiTheme="minorHAnsi"/>
          <w:color w:val="auto"/>
        </w:rPr>
        <w:t xml:space="preserve"> </w:t>
      </w:r>
      <w:r w:rsidRPr="006530A7">
        <w:rPr>
          <w:rFonts w:asciiTheme="minorHAnsi" w:hAnsiTheme="minorHAnsi"/>
          <w:color w:val="auto"/>
        </w:rPr>
        <w:t>degli operatori</w:t>
      </w:r>
      <w:bookmarkEnd w:id="11"/>
    </w:p>
    <w:p w:rsidR="008B6917" w:rsidRDefault="00870C8A" w:rsidP="00F463C6">
      <w:pPr>
        <w:spacing w:before="120" w:after="120"/>
        <w:jc w:val="both"/>
        <w:rPr>
          <w:sz w:val="24"/>
        </w:rPr>
      </w:pPr>
      <w:r>
        <w:rPr>
          <w:sz w:val="24"/>
        </w:rPr>
        <w:t>Quanto fin</w:t>
      </w:r>
      <w:r w:rsidR="00091E8D" w:rsidRPr="006530A7">
        <w:rPr>
          <w:sz w:val="24"/>
        </w:rPr>
        <w:t xml:space="preserve"> qui descritto rappresenta indubbiamente l’espressione di un quadro </w:t>
      </w:r>
      <w:r>
        <w:rPr>
          <w:sz w:val="24"/>
        </w:rPr>
        <w:t xml:space="preserve">divergente fra </w:t>
      </w:r>
      <w:r w:rsidR="00091E8D" w:rsidRPr="006530A7">
        <w:rPr>
          <w:sz w:val="24"/>
        </w:rPr>
        <w:t xml:space="preserve">gli andamenti tendenziali del mercato abitativo </w:t>
      </w:r>
      <w:r>
        <w:rPr>
          <w:sz w:val="24"/>
        </w:rPr>
        <w:t>e</w:t>
      </w:r>
      <w:r w:rsidR="00091E8D" w:rsidRPr="006530A7">
        <w:rPr>
          <w:sz w:val="24"/>
        </w:rPr>
        <w:t xml:space="preserve"> terziari</w:t>
      </w:r>
      <w:r w:rsidR="00E23CC0">
        <w:rPr>
          <w:sz w:val="24"/>
        </w:rPr>
        <w:t>o</w:t>
      </w:r>
      <w:r w:rsidR="00091E8D" w:rsidRPr="006530A7">
        <w:rPr>
          <w:sz w:val="24"/>
        </w:rPr>
        <w:t xml:space="preserve">/commerciale/industriale. Le indicazioni raccolte presso il panel di testimoni privilegiati della rete professionale di Yard inducono a ritenere che la ripresa, per certi aspetti già in corso, sarà sostenuta inizialmente dagli scambi sul patrimonio residenziale, usato in testa. Ma la crescita dei prezzi che seguirà, premierà soprattutto l’offerta di abitazioni di nuova costruzione (od interamente ristrutturate) ed in generale le localizzazioni più centrali. Si rischia invece un momentaneo ulteriore ristagno dei prezzi e dei volumi transati nei segmenti </w:t>
      </w:r>
      <w:r w:rsidR="00091E8D" w:rsidRPr="00D74C84">
        <w:rPr>
          <w:sz w:val="24"/>
        </w:rPr>
        <w:t>del commer</w:t>
      </w:r>
      <w:r w:rsidRPr="00D74C84">
        <w:rPr>
          <w:sz w:val="24"/>
        </w:rPr>
        <w:t>ciale</w:t>
      </w:r>
      <w:r w:rsidR="00E23CC0">
        <w:rPr>
          <w:sz w:val="24"/>
        </w:rPr>
        <w:t>, degli uffici e</w:t>
      </w:r>
      <w:r w:rsidR="00091E8D" w:rsidRPr="006530A7">
        <w:rPr>
          <w:sz w:val="24"/>
        </w:rPr>
        <w:t xml:space="preserve"> della logistica. In sostanza il mercato immobiliare extra residenziale si rimetterà in marcia non prima che siano rimossi i fattori sfavorevoli della congiuntura economica che ne impediscono </w:t>
      </w:r>
      <w:r>
        <w:rPr>
          <w:sz w:val="24"/>
        </w:rPr>
        <w:t>la rinascita</w:t>
      </w:r>
      <w:r w:rsidR="00091E8D" w:rsidRPr="006530A7">
        <w:rPr>
          <w:sz w:val="24"/>
        </w:rPr>
        <w:t xml:space="preserve">. Tuttavia, </w:t>
      </w:r>
      <w:r>
        <w:rPr>
          <w:sz w:val="24"/>
        </w:rPr>
        <w:t>il più generale</w:t>
      </w:r>
      <w:r w:rsidR="00091E8D" w:rsidRPr="006530A7">
        <w:rPr>
          <w:sz w:val="24"/>
        </w:rPr>
        <w:t xml:space="preserve"> </w:t>
      </w:r>
      <w:r w:rsidR="00091E8D" w:rsidRPr="006530A7">
        <w:rPr>
          <w:i/>
          <w:sz w:val="24"/>
        </w:rPr>
        <w:t>sentiment</w:t>
      </w:r>
      <w:r w:rsidR="00091E8D" w:rsidRPr="006530A7">
        <w:rPr>
          <w:sz w:val="24"/>
        </w:rPr>
        <w:t xml:space="preserve"> degli operatori interpellati risulta di segno nettamente positivo. Il giudizio sulle prospettive del settore immobiliare nel suo complesso</w:t>
      </w:r>
      <w:r>
        <w:rPr>
          <w:sz w:val="24"/>
        </w:rPr>
        <w:t>,</w:t>
      </w:r>
      <w:r w:rsidR="00091E8D" w:rsidRPr="006530A7">
        <w:rPr>
          <w:sz w:val="24"/>
        </w:rPr>
        <w:t xml:space="preserve"> in proiezione a tre anni (2018)</w:t>
      </w:r>
      <w:r>
        <w:rPr>
          <w:sz w:val="24"/>
        </w:rPr>
        <w:t>,</w:t>
      </w:r>
      <w:r w:rsidR="00091E8D" w:rsidRPr="006530A7">
        <w:rPr>
          <w:sz w:val="24"/>
        </w:rPr>
        <w:t xml:space="preserve"> vede affermare </w:t>
      </w:r>
      <w:r>
        <w:rPr>
          <w:sz w:val="24"/>
        </w:rPr>
        <w:t xml:space="preserve">un ottimismo di fondo per il </w:t>
      </w:r>
      <w:r w:rsidR="00091E8D" w:rsidRPr="006530A7">
        <w:rPr>
          <w:sz w:val="24"/>
        </w:rPr>
        <w:t>59,7% degli interv</w:t>
      </w:r>
      <w:r>
        <w:rPr>
          <w:sz w:val="24"/>
        </w:rPr>
        <w:t>istati, contro appena il 5,6% d</w:t>
      </w:r>
      <w:r w:rsidR="00091E8D" w:rsidRPr="006530A7">
        <w:rPr>
          <w:sz w:val="24"/>
        </w:rPr>
        <w:t xml:space="preserve">i pessimisti. Il dato, che non presenta significative diversificazioni nelle grandi ripartizioni territoriali, segna una punta di valore massimo in corrispondenza delle città metropolitane nelle quali il </w:t>
      </w:r>
      <w:r w:rsidR="00091E8D" w:rsidRPr="00870C8A">
        <w:rPr>
          <w:b/>
          <w:i/>
          <w:sz w:val="24"/>
        </w:rPr>
        <w:t>sentire positivo</w:t>
      </w:r>
      <w:r w:rsidR="00091E8D" w:rsidRPr="00870C8A">
        <w:rPr>
          <w:b/>
          <w:sz w:val="24"/>
        </w:rPr>
        <w:t xml:space="preserve"> supera addirittura il 70% </w:t>
      </w:r>
      <w:r w:rsidR="00091E8D" w:rsidRPr="006530A7">
        <w:rPr>
          <w:sz w:val="24"/>
        </w:rPr>
        <w:t xml:space="preserve">delle opinioni </w:t>
      </w:r>
      <w:r w:rsidR="00091E8D" w:rsidRPr="008C387B">
        <w:rPr>
          <w:sz w:val="24"/>
        </w:rPr>
        <w:t>raccolte (</w:t>
      </w:r>
      <w:r w:rsidR="00F0228B" w:rsidRPr="008C387B">
        <w:rPr>
          <w:sz w:val="24"/>
        </w:rPr>
        <w:t>t</w:t>
      </w:r>
      <w:r w:rsidR="009D54F3" w:rsidRPr="008C387B">
        <w:rPr>
          <w:sz w:val="24"/>
        </w:rPr>
        <w:t>ab. 3</w:t>
      </w:r>
      <w:r w:rsidR="00091E8D" w:rsidRPr="008C387B">
        <w:rPr>
          <w:sz w:val="24"/>
        </w:rPr>
        <w:t>).</w:t>
      </w:r>
    </w:p>
    <w:p w:rsidR="00652E63" w:rsidRPr="006530A7" w:rsidRDefault="00652E63" w:rsidP="00652E63">
      <w:pPr>
        <w:pStyle w:val="Titolotabella"/>
        <w:rPr>
          <w:sz w:val="24"/>
        </w:rPr>
      </w:pPr>
      <w:r>
        <w:rPr>
          <w:lang w:eastAsia="it-IT"/>
        </w:rPr>
        <w:t>Tab.</w:t>
      </w:r>
      <w:r w:rsidRPr="006530A7">
        <w:rPr>
          <w:lang w:eastAsia="it-IT"/>
        </w:rPr>
        <w:t xml:space="preserve">3 </w:t>
      </w:r>
      <w:r w:rsidR="00E26D59">
        <w:t xml:space="preserve">– </w:t>
      </w:r>
      <w:r w:rsidRPr="006530A7">
        <w:rPr>
          <w:lang w:eastAsia="it-IT"/>
        </w:rPr>
        <w:t xml:space="preserve">Il giudizio sulle prospettive di breve-medio periodo (2018) del settore immobiliare nel suo complesso, per ripartizione geografica e area urbana </w:t>
      </w:r>
      <w:r w:rsidRPr="00652E63">
        <w:rPr>
          <w:lang w:eastAsia="it-IT"/>
        </w:rPr>
        <w:t>(val.%)</w:t>
      </w:r>
    </w:p>
    <w:tbl>
      <w:tblPr>
        <w:tblStyle w:val="Sfondomedio1-Colore1"/>
        <w:tblW w:w="8353" w:type="dxa"/>
        <w:tblLayout w:type="fixed"/>
        <w:tblLook w:val="04A0" w:firstRow="1" w:lastRow="0" w:firstColumn="1" w:lastColumn="0" w:noHBand="0" w:noVBand="1"/>
      </w:tblPr>
      <w:tblGrid>
        <w:gridCol w:w="1099"/>
        <w:gridCol w:w="904"/>
        <w:gridCol w:w="904"/>
        <w:gridCol w:w="1180"/>
        <w:gridCol w:w="1073"/>
        <w:gridCol w:w="1185"/>
        <w:gridCol w:w="2008"/>
      </w:tblGrid>
      <w:tr w:rsidR="00E40BAB" w:rsidRPr="006530A7" w:rsidTr="00CD5F8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99" w:type="dxa"/>
            <w:noWrap/>
          </w:tcPr>
          <w:p w:rsidR="00E40BAB" w:rsidRPr="00652E63" w:rsidRDefault="00E40BAB" w:rsidP="009D54F3">
            <w:pPr>
              <w:rPr>
                <w:rFonts w:eastAsia="Times New Roman" w:cs="Arial"/>
                <w:lang w:eastAsia="it-IT"/>
              </w:rPr>
            </w:pPr>
          </w:p>
        </w:tc>
        <w:tc>
          <w:tcPr>
            <w:tcW w:w="2988" w:type="dxa"/>
            <w:gridSpan w:val="3"/>
          </w:tcPr>
          <w:p w:rsidR="00E40BAB" w:rsidRPr="00652E63" w:rsidRDefault="00E40BAB" w:rsidP="00652E63">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Pr>
                <w:rFonts w:eastAsia="Times New Roman" w:cs="Arial"/>
                <w:lang w:eastAsia="it-IT"/>
              </w:rPr>
              <w:t>Ripartizioni</w:t>
            </w:r>
          </w:p>
        </w:tc>
        <w:tc>
          <w:tcPr>
            <w:tcW w:w="2258" w:type="dxa"/>
            <w:gridSpan w:val="2"/>
          </w:tcPr>
          <w:p w:rsidR="00E40BAB" w:rsidRPr="00652E63" w:rsidRDefault="00E40BAB" w:rsidP="00652E63">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Pr>
                <w:rFonts w:eastAsia="Times New Roman" w:cs="Arial"/>
                <w:lang w:eastAsia="it-IT"/>
              </w:rPr>
              <w:t>Aree</w:t>
            </w:r>
          </w:p>
        </w:tc>
        <w:tc>
          <w:tcPr>
            <w:tcW w:w="2008" w:type="dxa"/>
            <w:vMerge w:val="restart"/>
            <w:vAlign w:val="center"/>
          </w:tcPr>
          <w:p w:rsidR="00E40BAB" w:rsidRPr="00652E63" w:rsidRDefault="00E40BAB" w:rsidP="005721F9">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Totale</w:t>
            </w:r>
          </w:p>
        </w:tc>
      </w:tr>
      <w:tr w:rsidR="00E40BAB" w:rsidRPr="006530A7" w:rsidTr="00CD5F83">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99" w:type="dxa"/>
            <w:shd w:val="clear" w:color="auto" w:fill="5B9BD5" w:themeFill="accent1"/>
            <w:noWrap/>
            <w:hideMark/>
          </w:tcPr>
          <w:p w:rsidR="00E40BAB" w:rsidRPr="00652E63" w:rsidRDefault="00E40BAB" w:rsidP="009D54F3">
            <w:pPr>
              <w:rPr>
                <w:rFonts w:eastAsia="Times New Roman" w:cs="Arial"/>
                <w:lang w:eastAsia="it-IT"/>
              </w:rPr>
            </w:pPr>
            <w:r w:rsidRPr="00652E63">
              <w:rPr>
                <w:rFonts w:eastAsia="Times New Roman" w:cs="Arial"/>
                <w:lang w:eastAsia="it-IT"/>
              </w:rPr>
              <w:t> </w:t>
            </w:r>
          </w:p>
        </w:tc>
        <w:tc>
          <w:tcPr>
            <w:tcW w:w="904" w:type="dxa"/>
            <w:shd w:val="clear" w:color="auto" w:fill="5B9BD5" w:themeFill="accent1"/>
            <w:vAlign w:val="center"/>
            <w:hideMark/>
          </w:tcPr>
          <w:p w:rsidR="00E40BAB" w:rsidRPr="00CD5F8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lang w:eastAsia="it-IT"/>
              </w:rPr>
            </w:pPr>
            <w:r w:rsidRPr="00CD5F83">
              <w:rPr>
                <w:rFonts w:eastAsia="Times New Roman" w:cs="Arial"/>
                <w:b/>
                <w:color w:val="FFFFFF" w:themeColor="background1"/>
                <w:lang w:eastAsia="it-IT"/>
              </w:rPr>
              <w:t>Nord</w:t>
            </w:r>
          </w:p>
        </w:tc>
        <w:tc>
          <w:tcPr>
            <w:tcW w:w="904" w:type="dxa"/>
            <w:shd w:val="clear" w:color="auto" w:fill="5B9BD5" w:themeFill="accent1"/>
            <w:vAlign w:val="center"/>
            <w:hideMark/>
          </w:tcPr>
          <w:p w:rsidR="00E40BAB" w:rsidRPr="00CD5F8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lang w:eastAsia="it-IT"/>
              </w:rPr>
            </w:pPr>
            <w:r w:rsidRPr="00CD5F83">
              <w:rPr>
                <w:rFonts w:eastAsia="Times New Roman" w:cs="Arial"/>
                <w:b/>
                <w:color w:val="FFFFFF" w:themeColor="background1"/>
                <w:lang w:eastAsia="it-IT"/>
              </w:rPr>
              <w:t>Centro</w:t>
            </w:r>
          </w:p>
        </w:tc>
        <w:tc>
          <w:tcPr>
            <w:tcW w:w="1180" w:type="dxa"/>
            <w:shd w:val="clear" w:color="auto" w:fill="5B9BD5" w:themeFill="accent1"/>
            <w:vAlign w:val="center"/>
            <w:hideMark/>
          </w:tcPr>
          <w:p w:rsidR="00E40BAB" w:rsidRPr="00CD5F8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lang w:eastAsia="it-IT"/>
              </w:rPr>
            </w:pPr>
            <w:r w:rsidRPr="00CD5F83">
              <w:rPr>
                <w:rFonts w:eastAsia="Times New Roman" w:cs="Arial"/>
                <w:b/>
                <w:color w:val="FFFFFF" w:themeColor="background1"/>
                <w:lang w:eastAsia="it-IT"/>
              </w:rPr>
              <w:t>Sud/Isole</w:t>
            </w:r>
          </w:p>
        </w:tc>
        <w:tc>
          <w:tcPr>
            <w:tcW w:w="1073" w:type="dxa"/>
            <w:shd w:val="clear" w:color="auto" w:fill="5B9BD5" w:themeFill="accent1"/>
            <w:vAlign w:val="center"/>
            <w:hideMark/>
          </w:tcPr>
          <w:p w:rsidR="00E40BAB" w:rsidRPr="00CD5F8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lang w:eastAsia="it-IT"/>
              </w:rPr>
            </w:pPr>
            <w:r w:rsidRPr="00CD5F83">
              <w:rPr>
                <w:rFonts w:eastAsia="Times New Roman" w:cs="Arial"/>
                <w:b/>
                <w:color w:val="FFFFFF" w:themeColor="background1"/>
                <w:lang w:eastAsia="it-IT"/>
              </w:rPr>
              <w:t>Grandi Città</w:t>
            </w:r>
          </w:p>
        </w:tc>
        <w:tc>
          <w:tcPr>
            <w:tcW w:w="1185" w:type="dxa"/>
            <w:shd w:val="clear" w:color="auto" w:fill="5B9BD5" w:themeFill="accent1"/>
            <w:vAlign w:val="center"/>
            <w:hideMark/>
          </w:tcPr>
          <w:p w:rsidR="00E40BAB" w:rsidRPr="00CD5F8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lang w:eastAsia="it-IT"/>
              </w:rPr>
            </w:pPr>
            <w:r w:rsidRPr="00CD5F83">
              <w:rPr>
                <w:rFonts w:eastAsia="Times New Roman" w:cs="Arial"/>
                <w:b/>
                <w:color w:val="FFFFFF" w:themeColor="background1"/>
                <w:lang w:eastAsia="it-IT"/>
              </w:rPr>
              <w:t>Altre   città</w:t>
            </w:r>
          </w:p>
        </w:tc>
        <w:tc>
          <w:tcPr>
            <w:tcW w:w="2008" w:type="dxa"/>
            <w:vMerge/>
            <w:hideMark/>
          </w:tcPr>
          <w:p w:rsidR="00E40BAB" w:rsidRPr="00652E63" w:rsidRDefault="00E40BAB" w:rsidP="00652E6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p>
        </w:tc>
      </w:tr>
      <w:tr w:rsidR="00E40BAB" w:rsidRPr="006530A7" w:rsidTr="00CD5F83">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99" w:type="dxa"/>
            <w:noWrap/>
            <w:vAlign w:val="center"/>
            <w:hideMark/>
          </w:tcPr>
          <w:p w:rsidR="00E40BAB" w:rsidRPr="00652E63" w:rsidRDefault="00E40BAB" w:rsidP="00CD5F83">
            <w:pPr>
              <w:rPr>
                <w:rFonts w:eastAsia="Times New Roman" w:cs="Arial"/>
                <w:b w:val="0"/>
                <w:lang w:eastAsia="it-IT"/>
              </w:rPr>
            </w:pPr>
            <w:r w:rsidRPr="00652E63">
              <w:rPr>
                <w:rFonts w:eastAsia="Times New Roman" w:cs="Arial"/>
                <w:b w:val="0"/>
                <w:lang w:eastAsia="it-IT"/>
              </w:rPr>
              <w:t>Ottimisti</w:t>
            </w:r>
          </w:p>
        </w:tc>
        <w:tc>
          <w:tcPr>
            <w:tcW w:w="904"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57,4</w:t>
            </w:r>
          </w:p>
        </w:tc>
        <w:tc>
          <w:tcPr>
            <w:tcW w:w="904"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64,3</w:t>
            </w:r>
          </w:p>
        </w:tc>
        <w:tc>
          <w:tcPr>
            <w:tcW w:w="1180"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59,5</w:t>
            </w:r>
          </w:p>
        </w:tc>
        <w:tc>
          <w:tcPr>
            <w:tcW w:w="1073"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71,4</w:t>
            </w:r>
          </w:p>
        </w:tc>
        <w:tc>
          <w:tcPr>
            <w:tcW w:w="1185"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56,2</w:t>
            </w:r>
          </w:p>
        </w:tc>
        <w:tc>
          <w:tcPr>
            <w:tcW w:w="2008"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59,7</w:t>
            </w:r>
          </w:p>
        </w:tc>
      </w:tr>
      <w:tr w:rsidR="00E40BAB" w:rsidRPr="006530A7" w:rsidTr="00CD5F8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99" w:type="dxa"/>
            <w:noWrap/>
            <w:vAlign w:val="center"/>
            <w:hideMark/>
          </w:tcPr>
          <w:p w:rsidR="00E40BAB" w:rsidRPr="00652E63" w:rsidRDefault="00E40BAB" w:rsidP="00CD5F83">
            <w:pPr>
              <w:rPr>
                <w:rFonts w:eastAsia="Times New Roman" w:cs="Arial"/>
                <w:b w:val="0"/>
                <w:lang w:eastAsia="it-IT"/>
              </w:rPr>
            </w:pPr>
            <w:r w:rsidRPr="00652E63">
              <w:rPr>
                <w:rFonts w:eastAsia="Times New Roman" w:cs="Arial"/>
                <w:b w:val="0"/>
                <w:lang w:eastAsia="it-IT"/>
              </w:rPr>
              <w:t>Incerti</w:t>
            </w:r>
          </w:p>
        </w:tc>
        <w:tc>
          <w:tcPr>
            <w:tcW w:w="904"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35,2</w:t>
            </w:r>
          </w:p>
        </w:tc>
        <w:tc>
          <w:tcPr>
            <w:tcW w:w="904"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32,1</w:t>
            </w:r>
          </w:p>
        </w:tc>
        <w:tc>
          <w:tcPr>
            <w:tcW w:w="1180"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35,7</w:t>
            </w:r>
          </w:p>
        </w:tc>
        <w:tc>
          <w:tcPr>
            <w:tcW w:w="1073"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25,0</w:t>
            </w:r>
          </w:p>
        </w:tc>
        <w:tc>
          <w:tcPr>
            <w:tcW w:w="1185"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37,5</w:t>
            </w:r>
          </w:p>
        </w:tc>
        <w:tc>
          <w:tcPr>
            <w:tcW w:w="2008"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34,7</w:t>
            </w:r>
          </w:p>
        </w:tc>
      </w:tr>
      <w:tr w:rsidR="00E40BAB" w:rsidRPr="006530A7" w:rsidTr="00CD5F83">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99" w:type="dxa"/>
            <w:noWrap/>
            <w:vAlign w:val="center"/>
            <w:hideMark/>
          </w:tcPr>
          <w:p w:rsidR="00E40BAB" w:rsidRPr="00652E63" w:rsidRDefault="00E40BAB" w:rsidP="00CD5F83">
            <w:pPr>
              <w:rPr>
                <w:rFonts w:eastAsia="Times New Roman" w:cs="Arial"/>
                <w:b w:val="0"/>
                <w:lang w:eastAsia="it-IT"/>
              </w:rPr>
            </w:pPr>
            <w:r w:rsidRPr="00652E63">
              <w:rPr>
                <w:rFonts w:eastAsia="Times New Roman" w:cs="Arial"/>
                <w:b w:val="0"/>
                <w:lang w:eastAsia="it-IT"/>
              </w:rPr>
              <w:t>Pessimisti</w:t>
            </w:r>
          </w:p>
        </w:tc>
        <w:tc>
          <w:tcPr>
            <w:tcW w:w="904"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7,4</w:t>
            </w:r>
          </w:p>
        </w:tc>
        <w:tc>
          <w:tcPr>
            <w:tcW w:w="904"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3,6</w:t>
            </w:r>
          </w:p>
        </w:tc>
        <w:tc>
          <w:tcPr>
            <w:tcW w:w="1180"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4,8</w:t>
            </w:r>
          </w:p>
        </w:tc>
        <w:tc>
          <w:tcPr>
            <w:tcW w:w="1073"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3.6</w:t>
            </w:r>
          </w:p>
        </w:tc>
        <w:tc>
          <w:tcPr>
            <w:tcW w:w="1185"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6,3</w:t>
            </w:r>
          </w:p>
        </w:tc>
        <w:tc>
          <w:tcPr>
            <w:tcW w:w="2008" w:type="dxa"/>
            <w:noWrap/>
            <w:vAlign w:val="center"/>
            <w:hideMark/>
          </w:tcPr>
          <w:p w:rsidR="00E40BAB" w:rsidRPr="00652E63" w:rsidRDefault="00E40BAB" w:rsidP="00CD5F83">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5,6</w:t>
            </w:r>
          </w:p>
        </w:tc>
      </w:tr>
      <w:tr w:rsidR="00E40BAB" w:rsidRPr="006530A7" w:rsidTr="00CD5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9" w:type="dxa"/>
            <w:noWrap/>
            <w:vAlign w:val="center"/>
            <w:hideMark/>
          </w:tcPr>
          <w:p w:rsidR="00E40BAB" w:rsidRPr="00652E63" w:rsidRDefault="00E40BAB" w:rsidP="00CD5F83">
            <w:pPr>
              <w:rPr>
                <w:rFonts w:eastAsia="Times New Roman" w:cs="Arial"/>
                <w:lang w:eastAsia="it-IT"/>
              </w:rPr>
            </w:pPr>
            <w:r w:rsidRPr="00652E63">
              <w:rPr>
                <w:rFonts w:eastAsia="Times New Roman" w:cs="Arial"/>
                <w:lang w:eastAsia="it-IT"/>
              </w:rPr>
              <w:t>Totale</w:t>
            </w:r>
          </w:p>
        </w:tc>
        <w:tc>
          <w:tcPr>
            <w:tcW w:w="904"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100,0</w:t>
            </w:r>
          </w:p>
        </w:tc>
        <w:tc>
          <w:tcPr>
            <w:tcW w:w="904"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100,0</w:t>
            </w:r>
          </w:p>
        </w:tc>
        <w:tc>
          <w:tcPr>
            <w:tcW w:w="1180"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100,0</w:t>
            </w:r>
          </w:p>
        </w:tc>
        <w:tc>
          <w:tcPr>
            <w:tcW w:w="1073"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100,0</w:t>
            </w:r>
          </w:p>
        </w:tc>
        <w:tc>
          <w:tcPr>
            <w:tcW w:w="1185"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100,0</w:t>
            </w:r>
          </w:p>
        </w:tc>
        <w:tc>
          <w:tcPr>
            <w:tcW w:w="2008" w:type="dxa"/>
            <w:noWrap/>
            <w:vAlign w:val="center"/>
            <w:hideMark/>
          </w:tcPr>
          <w:p w:rsidR="00E40BAB" w:rsidRPr="00652E63" w:rsidRDefault="00E40BAB" w:rsidP="00CD5F83">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100,0</w:t>
            </w:r>
          </w:p>
        </w:tc>
      </w:tr>
    </w:tbl>
    <w:p w:rsidR="00FB42D5" w:rsidRPr="00F54056" w:rsidRDefault="008D04F1" w:rsidP="00F54056">
      <w:pPr>
        <w:pStyle w:val="StileFonte"/>
      </w:pPr>
      <w:r w:rsidRPr="00652E63">
        <w:t>Fonte: indagine</w:t>
      </w:r>
      <w:r w:rsidR="006B1359" w:rsidRPr="00652E63">
        <w:t xml:space="preserve"> RUR - Yard, 2016</w:t>
      </w:r>
    </w:p>
    <w:p w:rsidR="00091E8D" w:rsidRPr="006530A7" w:rsidRDefault="003672E6" w:rsidP="00822ADA">
      <w:pPr>
        <w:pStyle w:val="Titolo2"/>
        <w:numPr>
          <w:ilvl w:val="1"/>
          <w:numId w:val="16"/>
        </w:numPr>
        <w:spacing w:before="640" w:after="320"/>
        <w:ind w:left="0" w:firstLine="0"/>
        <w:rPr>
          <w:rFonts w:asciiTheme="minorHAnsi" w:hAnsiTheme="minorHAnsi"/>
          <w:color w:val="auto"/>
        </w:rPr>
      </w:pPr>
      <w:bookmarkStart w:id="12" w:name="_Toc445539595"/>
      <w:r>
        <w:rPr>
          <w:rFonts w:asciiTheme="minorHAnsi" w:hAnsiTheme="minorHAnsi"/>
          <w:color w:val="auto"/>
        </w:rPr>
        <w:lastRenderedPageBreak/>
        <w:t>Il REI (</w:t>
      </w:r>
      <w:r w:rsidR="00091E8D" w:rsidRPr="006530A7">
        <w:rPr>
          <w:rFonts w:asciiTheme="minorHAnsi" w:hAnsiTheme="minorHAnsi"/>
          <w:color w:val="auto"/>
        </w:rPr>
        <w:t>Real Estate</w:t>
      </w:r>
      <w:r>
        <w:rPr>
          <w:rFonts w:asciiTheme="minorHAnsi" w:hAnsiTheme="minorHAnsi"/>
          <w:color w:val="auto"/>
        </w:rPr>
        <w:t xml:space="preserve"> Italia)</w:t>
      </w:r>
      <w:r w:rsidR="00091E8D" w:rsidRPr="006530A7">
        <w:rPr>
          <w:rFonts w:asciiTheme="minorHAnsi" w:hAnsiTheme="minorHAnsi"/>
          <w:color w:val="auto"/>
        </w:rPr>
        <w:t xml:space="preserve"> Index</w:t>
      </w:r>
      <w:bookmarkEnd w:id="12"/>
    </w:p>
    <w:p w:rsidR="00091E8D" w:rsidRDefault="00091E8D" w:rsidP="00F463C6">
      <w:pPr>
        <w:spacing w:before="120" w:after="120"/>
        <w:jc w:val="both"/>
        <w:rPr>
          <w:sz w:val="24"/>
        </w:rPr>
      </w:pPr>
      <w:r w:rsidRPr="006530A7">
        <w:rPr>
          <w:sz w:val="24"/>
        </w:rPr>
        <w:t>Le elaborazioni effettuate attraverso l’applicazio</w:t>
      </w:r>
      <w:r w:rsidR="00A850A7">
        <w:rPr>
          <w:sz w:val="24"/>
        </w:rPr>
        <w:t>ne del REI – Real Estate</w:t>
      </w:r>
      <w:r w:rsidR="00D74C84">
        <w:rPr>
          <w:sz w:val="24"/>
        </w:rPr>
        <w:t xml:space="preserve"> Italia</w:t>
      </w:r>
      <w:r w:rsidR="00A850A7">
        <w:rPr>
          <w:sz w:val="24"/>
        </w:rPr>
        <w:t xml:space="preserve"> Index </w:t>
      </w:r>
      <w:r w:rsidRPr="006530A7">
        <w:rPr>
          <w:sz w:val="24"/>
        </w:rPr>
        <w:t>(per la cui metodologia si rimanda alle note allegate) confermano le tendenze prima descritte e ne evidenziano alcuni andamenti caratteristici.</w:t>
      </w:r>
    </w:p>
    <w:p w:rsidR="00717F94" w:rsidRDefault="00717F94" w:rsidP="00F463C6">
      <w:pPr>
        <w:spacing w:before="120" w:after="120"/>
        <w:jc w:val="both"/>
        <w:rPr>
          <w:sz w:val="24"/>
        </w:rPr>
      </w:pPr>
      <w:r>
        <w:rPr>
          <w:sz w:val="24"/>
        </w:rPr>
        <w:t xml:space="preserve">Gli andamenti del </w:t>
      </w:r>
      <w:r w:rsidRPr="00717F94">
        <w:rPr>
          <w:b/>
          <w:sz w:val="24"/>
        </w:rPr>
        <w:t>mercato residenziale</w:t>
      </w:r>
      <w:r>
        <w:rPr>
          <w:b/>
          <w:sz w:val="24"/>
        </w:rPr>
        <w:t xml:space="preserve"> </w:t>
      </w:r>
      <w:r>
        <w:rPr>
          <w:sz w:val="24"/>
        </w:rPr>
        <w:t>vedono (</w:t>
      </w:r>
      <w:r w:rsidRPr="00D74C84">
        <w:rPr>
          <w:sz w:val="24"/>
        </w:rPr>
        <w:t>fig.18):</w:t>
      </w:r>
    </w:p>
    <w:p w:rsidR="00717F94" w:rsidRDefault="00717F94" w:rsidP="00F463C6">
      <w:pPr>
        <w:pStyle w:val="Paragrafoelenco"/>
        <w:numPr>
          <w:ilvl w:val="0"/>
          <w:numId w:val="7"/>
        </w:numPr>
        <w:spacing w:before="120" w:after="120"/>
        <w:jc w:val="both"/>
        <w:rPr>
          <w:sz w:val="24"/>
        </w:rPr>
      </w:pPr>
      <w:r>
        <w:rPr>
          <w:sz w:val="24"/>
        </w:rPr>
        <w:t xml:space="preserve">il proseguimento della ripresa in termini di </w:t>
      </w:r>
      <w:r w:rsidRPr="00717F94">
        <w:rPr>
          <w:b/>
          <w:sz w:val="24"/>
        </w:rPr>
        <w:t>transazioni</w:t>
      </w:r>
      <w:r>
        <w:rPr>
          <w:sz w:val="24"/>
        </w:rPr>
        <w:t xml:space="preserve"> per quanto riguarda il comparto dell’”usato”. Registra, infatti, al 2016 un REI di 75,6</w:t>
      </w:r>
      <w:r w:rsidR="00471699">
        <w:rPr>
          <w:sz w:val="24"/>
        </w:rPr>
        <w:t xml:space="preserve"> </w:t>
      </w:r>
      <w:r>
        <w:rPr>
          <w:sz w:val="24"/>
        </w:rPr>
        <w:t>(espansione) che resta al 2018 sullo stesso livello con un REI</w:t>
      </w:r>
      <w:r w:rsidR="00202469">
        <w:rPr>
          <w:sz w:val="24"/>
        </w:rPr>
        <w:t xml:space="preserve"> di</w:t>
      </w:r>
      <w:r>
        <w:rPr>
          <w:sz w:val="24"/>
        </w:rPr>
        <w:t xml:space="preserve"> 77,8. Il “nuovo” al 2016 registra un REI di 54,5 (stabilità) mentre passerà al 2018 a un condizione </w:t>
      </w:r>
      <w:r w:rsidR="00D74C84">
        <w:rPr>
          <w:sz w:val="24"/>
        </w:rPr>
        <w:t>migliorativa con un REI di 73,4</w:t>
      </w:r>
      <w:r>
        <w:rPr>
          <w:sz w:val="24"/>
        </w:rPr>
        <w:t>;</w:t>
      </w:r>
    </w:p>
    <w:p w:rsidR="00717F94" w:rsidRDefault="00717F94" w:rsidP="00F463C6">
      <w:pPr>
        <w:pStyle w:val="Paragrafoelenco"/>
        <w:numPr>
          <w:ilvl w:val="0"/>
          <w:numId w:val="7"/>
        </w:numPr>
        <w:spacing w:before="120" w:after="120"/>
        <w:jc w:val="both"/>
        <w:rPr>
          <w:sz w:val="24"/>
        </w:rPr>
      </w:pPr>
      <w:r>
        <w:rPr>
          <w:sz w:val="24"/>
        </w:rPr>
        <w:t xml:space="preserve">per quanto riguarda i </w:t>
      </w:r>
      <w:r w:rsidRPr="00D74C84">
        <w:rPr>
          <w:b/>
          <w:sz w:val="24"/>
        </w:rPr>
        <w:t>valori</w:t>
      </w:r>
      <w:r>
        <w:rPr>
          <w:sz w:val="24"/>
        </w:rPr>
        <w:t xml:space="preserve"> allo stato attuale il “nuovo” con un REI </w:t>
      </w:r>
      <w:r w:rsidR="00471699">
        <w:rPr>
          <w:sz w:val="24"/>
        </w:rPr>
        <w:t xml:space="preserve">pari a </w:t>
      </w:r>
      <w:r>
        <w:rPr>
          <w:sz w:val="24"/>
        </w:rPr>
        <w:t xml:space="preserve">50,9 presenta condizioni appena peggiori dell’”usato” con un REI </w:t>
      </w:r>
      <w:r w:rsidR="00202469">
        <w:rPr>
          <w:sz w:val="24"/>
        </w:rPr>
        <w:t>di</w:t>
      </w:r>
      <w:r>
        <w:rPr>
          <w:sz w:val="24"/>
        </w:rPr>
        <w:t xml:space="preserve"> 56,2 (per entrambi i casi “stabilità”</w:t>
      </w:r>
      <w:r w:rsidR="00D74C84">
        <w:rPr>
          <w:sz w:val="24"/>
        </w:rPr>
        <w:t>)</w:t>
      </w:r>
      <w:r>
        <w:rPr>
          <w:sz w:val="24"/>
        </w:rPr>
        <w:t>. Nel 2018, tuttavia, i valori dell’usato progrediscono da 56,2 a 64,2, meno di quelli del “nuovo” da 50,9 a 69,1.</w:t>
      </w:r>
    </w:p>
    <w:p w:rsidR="00717F94" w:rsidRPr="006530A7" w:rsidRDefault="00717F94" w:rsidP="00202469">
      <w:pPr>
        <w:pStyle w:val="Titolotabella"/>
      </w:pPr>
      <w:r>
        <w:t>Fig</w:t>
      </w:r>
      <w:r w:rsidRPr="006530A7">
        <w:t>.</w:t>
      </w:r>
      <w:r w:rsidR="00991DD1">
        <w:t>18</w:t>
      </w:r>
      <w:r>
        <w:t xml:space="preserve"> – </w:t>
      </w:r>
      <w:r w:rsidRPr="006530A7">
        <w:t>Andamenti del mercato residenziale al 2016 e al 2018</w:t>
      </w:r>
      <w:r>
        <w:t xml:space="preserve"> </w:t>
      </w:r>
      <w:r w:rsidRPr="00D74C84">
        <w:t>(Scala dei valori: 0 – 30 deterioramento; 30 – 50 regresso; 50 – 60 stabilità; 60 – 100 espansione)</w:t>
      </w:r>
    </w:p>
    <w:p w:rsidR="00717F94" w:rsidRDefault="00717F94" w:rsidP="00717F94">
      <w:pPr>
        <w:jc w:val="center"/>
        <w:rPr>
          <w:i/>
        </w:rPr>
      </w:pPr>
      <w:r w:rsidRPr="006530A7">
        <w:rPr>
          <w:noProof/>
          <w:sz w:val="24"/>
          <w:lang w:eastAsia="it-IT"/>
        </w:rPr>
        <w:drawing>
          <wp:inline distT="0" distB="0" distL="0" distR="0" wp14:anchorId="03861D69" wp14:editId="4B22E49D">
            <wp:extent cx="5510150" cy="2838203"/>
            <wp:effectExtent l="0" t="0" r="14605" b="19685"/>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7F94" w:rsidRDefault="00717F94" w:rsidP="00717F94">
      <w:pPr>
        <w:pStyle w:val="StileFonte"/>
        <w:rPr>
          <w:sz w:val="24"/>
        </w:rPr>
      </w:pPr>
      <w:r>
        <w:t>Fonte: indagine</w:t>
      </w:r>
      <w:r w:rsidRPr="00C827B8">
        <w:t xml:space="preserve"> RUR - Yard, 2016</w:t>
      </w:r>
      <w:r>
        <w:rPr>
          <w:sz w:val="24"/>
        </w:rPr>
        <w:br w:type="page"/>
      </w:r>
    </w:p>
    <w:p w:rsidR="00991DD1" w:rsidRPr="00717F94" w:rsidRDefault="00991DD1" w:rsidP="00F463C6">
      <w:pPr>
        <w:spacing w:before="120" w:after="120"/>
        <w:jc w:val="both"/>
        <w:rPr>
          <w:sz w:val="24"/>
        </w:rPr>
      </w:pPr>
      <w:r>
        <w:rPr>
          <w:sz w:val="24"/>
        </w:rPr>
        <w:lastRenderedPageBreak/>
        <w:t>In definitiva, la ripresa mostra attualmente maggiore dinamicità nel mercato delle abitazioni esistenti, ma tendenzialmente i valori, in questo comparto</w:t>
      </w:r>
      <w:r w:rsidR="00D74C84">
        <w:rPr>
          <w:sz w:val="24"/>
        </w:rPr>
        <w:t>,</w:t>
      </w:r>
      <w:r>
        <w:rPr>
          <w:sz w:val="24"/>
        </w:rPr>
        <w:t xml:space="preserve"> seguiranno la dinamica media. Le nuove costruzioni, il recupero e la riqualificazione sembra</w:t>
      </w:r>
      <w:r w:rsidR="00202469">
        <w:rPr>
          <w:sz w:val="24"/>
        </w:rPr>
        <w:t>no</w:t>
      </w:r>
      <w:r>
        <w:rPr>
          <w:sz w:val="24"/>
        </w:rPr>
        <w:t xml:space="preserve"> destinat</w:t>
      </w:r>
      <w:r w:rsidR="00202469">
        <w:rPr>
          <w:sz w:val="24"/>
        </w:rPr>
        <w:t>e</w:t>
      </w:r>
      <w:r>
        <w:rPr>
          <w:sz w:val="24"/>
        </w:rPr>
        <w:t xml:space="preserve"> a registrare un più significativo rimbalzo.</w:t>
      </w:r>
    </w:p>
    <w:p w:rsidR="00F0228B" w:rsidRPr="00D74C84" w:rsidRDefault="00991DD1" w:rsidP="00F463C6">
      <w:pPr>
        <w:spacing w:before="120" w:after="120"/>
        <w:jc w:val="both"/>
        <w:rPr>
          <w:sz w:val="24"/>
        </w:rPr>
      </w:pPr>
      <w:r>
        <w:rPr>
          <w:sz w:val="24"/>
        </w:rPr>
        <w:t xml:space="preserve">Per il </w:t>
      </w:r>
      <w:r w:rsidR="00091E8D" w:rsidRPr="006530A7">
        <w:rPr>
          <w:b/>
          <w:sz w:val="24"/>
        </w:rPr>
        <w:t>mercato residenziale</w:t>
      </w:r>
      <w:r>
        <w:rPr>
          <w:sz w:val="24"/>
        </w:rPr>
        <w:t xml:space="preserve"> del nuovo e del recupero, in particolare, </w:t>
      </w:r>
      <w:r w:rsidR="00091E8D" w:rsidRPr="006530A7">
        <w:rPr>
          <w:sz w:val="24"/>
        </w:rPr>
        <w:t xml:space="preserve">al passo ancora rallentato delle compravendite nel 2016, con una marcia appena più frenata nel Centro Italia, farà seguito una netta accelerazione che culminerà nel 2018 in un allineamento verso l’alto degli scambi in tutte le grandi </w:t>
      </w:r>
      <w:r w:rsidR="00091E8D" w:rsidRPr="00D74C84">
        <w:rPr>
          <w:sz w:val="24"/>
        </w:rPr>
        <w:t>ripartizioni territoriali (</w:t>
      </w:r>
      <w:r w:rsidR="007C6761" w:rsidRPr="00D74C84">
        <w:rPr>
          <w:sz w:val="24"/>
        </w:rPr>
        <w:t>fig. 1</w:t>
      </w:r>
      <w:r w:rsidRPr="00D74C84">
        <w:rPr>
          <w:sz w:val="24"/>
        </w:rPr>
        <w:t>9</w:t>
      </w:r>
      <w:r w:rsidR="00091E8D" w:rsidRPr="00D74C84">
        <w:rPr>
          <w:sz w:val="24"/>
        </w:rPr>
        <w:t>).</w:t>
      </w:r>
    </w:p>
    <w:p w:rsidR="00BC64B8" w:rsidRDefault="007C6761" w:rsidP="00202469">
      <w:pPr>
        <w:pStyle w:val="Titolotabella"/>
      </w:pPr>
      <w:r w:rsidRPr="00D74C84">
        <w:t>Fig.1</w:t>
      </w:r>
      <w:r w:rsidR="00991DD1" w:rsidRPr="00D74C84">
        <w:t>9</w:t>
      </w:r>
      <w:r w:rsidRPr="00D74C84">
        <w:t xml:space="preserve"> – REI Index </w:t>
      </w:r>
      <w:r w:rsidR="00F0228B" w:rsidRPr="00D74C84">
        <w:t xml:space="preserve">- </w:t>
      </w:r>
      <w:r w:rsidRPr="00D74C84">
        <w:t xml:space="preserve">Nuovo Compravendite, per </w:t>
      </w:r>
      <w:r w:rsidR="00335856" w:rsidRPr="00D74C84">
        <w:t>ripartizione</w:t>
      </w:r>
      <w:r w:rsidRPr="00D74C84">
        <w:t xml:space="preserve"> geografica </w:t>
      </w:r>
      <w:r w:rsidR="001B44D5" w:rsidRPr="00D74C84">
        <w:t>(Scala dei valori: 0 – 30 deterioramento; 30 – 50 regresso; 50 – 60 stabilità; 60 – 100 espansione)</w:t>
      </w:r>
    </w:p>
    <w:p w:rsidR="0088646B" w:rsidRDefault="00091E8D" w:rsidP="0088646B">
      <w:pPr>
        <w:pStyle w:val="StileFonte"/>
        <w:jc w:val="center"/>
      </w:pPr>
      <w:r w:rsidRPr="006530A7">
        <w:rPr>
          <w:noProof/>
        </w:rPr>
        <w:drawing>
          <wp:inline distT="0" distB="0" distL="0" distR="0" wp14:anchorId="56ECA195" wp14:editId="4EFFC1F8">
            <wp:extent cx="5408295" cy="4027714"/>
            <wp:effectExtent l="0" t="0" r="1905" b="11430"/>
            <wp:docPr id="476" name="Grafico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97AFE" w:rsidRDefault="008D04F1" w:rsidP="0088646B">
      <w:pPr>
        <w:pStyle w:val="StileFonte"/>
      </w:pPr>
      <w:r>
        <w:t>Fonte: indagine</w:t>
      </w:r>
      <w:r w:rsidR="007C6761" w:rsidRPr="00C827B8">
        <w:t xml:space="preserve"> RUR - Yard, 2016</w:t>
      </w:r>
    </w:p>
    <w:p w:rsidR="009274D6" w:rsidRDefault="009274D6" w:rsidP="00097AFE">
      <w:pPr>
        <w:pStyle w:val="Titolotabella"/>
      </w:pPr>
    </w:p>
    <w:p w:rsidR="009274D6" w:rsidRDefault="009274D6" w:rsidP="00097AFE">
      <w:pPr>
        <w:pStyle w:val="Titolotabella"/>
      </w:pPr>
    </w:p>
    <w:p w:rsidR="003A5C50" w:rsidRPr="003A5C50" w:rsidRDefault="003A5C50" w:rsidP="00F463C6">
      <w:pPr>
        <w:spacing w:before="120" w:after="120"/>
        <w:jc w:val="both"/>
        <w:rPr>
          <w:sz w:val="24"/>
        </w:rPr>
      </w:pPr>
      <w:r>
        <w:rPr>
          <w:sz w:val="24"/>
        </w:rPr>
        <w:lastRenderedPageBreak/>
        <w:t xml:space="preserve">Quanto, poi, ai valori la ripresa all’orizzonte nel 2018 tenderà a premiare sempre </w:t>
      </w:r>
      <w:r w:rsidRPr="006530A7">
        <w:rPr>
          <w:sz w:val="24"/>
        </w:rPr>
        <w:t>le abitazioni di nuova costruzione (o interamente ristrutturate)</w:t>
      </w:r>
      <w:r w:rsidR="00920EF4">
        <w:rPr>
          <w:sz w:val="24"/>
        </w:rPr>
        <w:t>,</w:t>
      </w:r>
      <w:r w:rsidRPr="006530A7">
        <w:rPr>
          <w:sz w:val="24"/>
        </w:rPr>
        <w:t xml:space="preserve"> </w:t>
      </w:r>
      <w:r>
        <w:rPr>
          <w:sz w:val="24"/>
        </w:rPr>
        <w:t>le localizzazioni del Nord e del Sud Italia, mentre il Centro Italia seguirà con un REI di 62,5, un valore inferiore alla media nazionale del 69,</w:t>
      </w:r>
      <w:r w:rsidR="00BA4583">
        <w:rPr>
          <w:sz w:val="24"/>
        </w:rPr>
        <w:t>1</w:t>
      </w:r>
      <w:r>
        <w:rPr>
          <w:sz w:val="24"/>
        </w:rPr>
        <w:t xml:space="preserve"> </w:t>
      </w:r>
      <w:r w:rsidRPr="00D74C84">
        <w:rPr>
          <w:sz w:val="24"/>
        </w:rPr>
        <w:t>(fig. 20).</w:t>
      </w:r>
      <w:r w:rsidRPr="006530A7">
        <w:rPr>
          <w:sz w:val="24"/>
        </w:rPr>
        <w:t xml:space="preserve"> </w:t>
      </w:r>
    </w:p>
    <w:p w:rsidR="007C6761" w:rsidRPr="006530A7" w:rsidRDefault="007C6761" w:rsidP="00202469">
      <w:pPr>
        <w:pStyle w:val="Titolotabella"/>
      </w:pPr>
      <w:r w:rsidRPr="006530A7">
        <w:t>Fig.</w:t>
      </w:r>
      <w:r w:rsidR="00991DD1">
        <w:t>20</w:t>
      </w:r>
      <w:r w:rsidR="004A2B65">
        <w:t xml:space="preserve"> – REI Index</w:t>
      </w:r>
      <w:r w:rsidR="00F0228B" w:rsidRPr="006530A7">
        <w:t xml:space="preserve"> - </w:t>
      </w:r>
      <w:r w:rsidRPr="006530A7">
        <w:t xml:space="preserve">Nuovo Valori, per </w:t>
      </w:r>
      <w:r w:rsidR="00335856">
        <w:t>ripartizione</w:t>
      </w:r>
      <w:r w:rsidRPr="006530A7">
        <w:t xml:space="preserve"> </w:t>
      </w:r>
      <w:r w:rsidRPr="00D74C84">
        <w:t>geografica</w:t>
      </w:r>
      <w:r w:rsidR="007D38E0" w:rsidRPr="00D74C84">
        <w:t xml:space="preserve"> (Scala dei valori: 0 – 30 deterioramento; 30 – 50 regresso; 50 – 60 stabilità; 60 – 100 espansione)</w:t>
      </w:r>
    </w:p>
    <w:p w:rsidR="0088646B" w:rsidRDefault="00091E8D" w:rsidP="00C61C61">
      <w:pPr>
        <w:pStyle w:val="StileFonte"/>
      </w:pPr>
      <w:r w:rsidRPr="006530A7">
        <w:rPr>
          <w:noProof/>
        </w:rPr>
        <w:drawing>
          <wp:inline distT="0" distB="0" distL="0" distR="0" wp14:anchorId="44C13610" wp14:editId="4343DE07">
            <wp:extent cx="5466715" cy="3875315"/>
            <wp:effectExtent l="0" t="0" r="19685" b="11430"/>
            <wp:docPr id="477" name="Grafico 4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C6761" w:rsidRPr="00C61C61" w:rsidRDefault="008D04F1" w:rsidP="00C61C61">
      <w:pPr>
        <w:pStyle w:val="StileFonte"/>
        <w:rPr>
          <w:sz w:val="24"/>
        </w:rPr>
      </w:pPr>
      <w:r>
        <w:t>Fonte: indagine</w:t>
      </w:r>
      <w:r w:rsidR="007C6761" w:rsidRPr="00C827B8">
        <w:t xml:space="preserve"> RUR - Yard, 2016</w:t>
      </w:r>
    </w:p>
    <w:p w:rsidR="003A5C50" w:rsidRPr="006530A7" w:rsidRDefault="003A5C50" w:rsidP="00F463C6">
      <w:pPr>
        <w:spacing w:before="120" w:after="120"/>
        <w:jc w:val="both"/>
        <w:rPr>
          <w:sz w:val="24"/>
        </w:rPr>
      </w:pPr>
      <w:r>
        <w:rPr>
          <w:sz w:val="24"/>
        </w:rPr>
        <w:t>In merito alla tipologia insediativa saranno soprattutto le città metropolitane a registrare le maggiori variazioni positive fra 2016 e 2018. Gli scambi passeranno da un indice REI di 58,9 a 77,8 del 2018, così pure i valori da 57,2 a 77,</w:t>
      </w:r>
      <w:r w:rsidRPr="00D74C84">
        <w:rPr>
          <w:sz w:val="24"/>
        </w:rPr>
        <w:t>8 (fig. 21).</w:t>
      </w:r>
    </w:p>
    <w:p w:rsidR="009274D6" w:rsidRDefault="009274D6" w:rsidP="00097AFE">
      <w:pPr>
        <w:pStyle w:val="Titolotabella"/>
      </w:pPr>
    </w:p>
    <w:p w:rsidR="00991DD1" w:rsidRDefault="00991DD1">
      <w:pPr>
        <w:rPr>
          <w:b/>
          <w:sz w:val="21"/>
        </w:rPr>
      </w:pPr>
      <w:r>
        <w:br w:type="page"/>
      </w:r>
    </w:p>
    <w:p w:rsidR="00F0228B" w:rsidRPr="006530A7" w:rsidRDefault="00506EE0" w:rsidP="00202469">
      <w:pPr>
        <w:pStyle w:val="Titolotabella"/>
      </w:pPr>
      <w:r>
        <w:lastRenderedPageBreak/>
        <w:t>Fig.</w:t>
      </w:r>
      <w:r w:rsidR="00F0228B" w:rsidRPr="006530A7">
        <w:t>2</w:t>
      </w:r>
      <w:r w:rsidR="003A5C50">
        <w:t>1</w:t>
      </w:r>
      <w:r w:rsidR="00E26D59">
        <w:t xml:space="preserve"> – </w:t>
      </w:r>
      <w:r w:rsidR="00F0228B" w:rsidRPr="006530A7">
        <w:t xml:space="preserve">REI Index – Residenziale Nuovo, per tipologia di </w:t>
      </w:r>
      <w:r w:rsidR="00F0228B" w:rsidRPr="00D74C84">
        <w:t>città</w:t>
      </w:r>
      <w:r w:rsidR="007D38E0" w:rsidRPr="00D74C84">
        <w:t xml:space="preserve"> (Scala dei valori: 0 – 30 deterioramento; 30 – 50 regresso; 50 – 60 stabilità; 60 – 100 espansione)</w:t>
      </w:r>
    </w:p>
    <w:p w:rsidR="0088646B" w:rsidRDefault="00091E8D" w:rsidP="00D25DCD">
      <w:pPr>
        <w:pStyle w:val="StileFonte"/>
        <w:jc w:val="center"/>
      </w:pPr>
      <w:r w:rsidRPr="006530A7">
        <w:rPr>
          <w:noProof/>
        </w:rPr>
        <w:drawing>
          <wp:inline distT="0" distB="0" distL="0" distR="0" wp14:anchorId="1DA980B2" wp14:editId="0ABAF174">
            <wp:extent cx="5514975" cy="3219450"/>
            <wp:effectExtent l="0" t="0" r="9525" b="19050"/>
            <wp:docPr id="478" name="Grafico 4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274D6" w:rsidRPr="000F60ED" w:rsidRDefault="008D04F1" w:rsidP="000F60ED">
      <w:pPr>
        <w:pStyle w:val="StileFonte"/>
        <w:rPr>
          <w:sz w:val="20"/>
          <w:szCs w:val="20"/>
        </w:rPr>
      </w:pPr>
      <w:r>
        <w:t>Fonte: indagine</w:t>
      </w:r>
      <w:r w:rsidR="00F0228B" w:rsidRPr="00C827B8">
        <w:t xml:space="preserve"> RUR - Yard, 2016</w:t>
      </w:r>
    </w:p>
    <w:p w:rsidR="00091E8D" w:rsidRPr="006530A7" w:rsidRDefault="007B5CC7" w:rsidP="00F463C6">
      <w:pPr>
        <w:spacing w:before="120" w:after="120"/>
        <w:jc w:val="both"/>
        <w:rPr>
          <w:sz w:val="20"/>
          <w:szCs w:val="20"/>
        </w:rPr>
      </w:pPr>
      <w:r>
        <w:rPr>
          <w:sz w:val="24"/>
        </w:rPr>
        <w:t xml:space="preserve">Comunque, </w:t>
      </w:r>
      <w:r w:rsidR="00091E8D" w:rsidRPr="006530A7">
        <w:rPr>
          <w:sz w:val="24"/>
        </w:rPr>
        <w:t>sempre nell’ambito dei valori immobiliari, gli scenari previsivi al 2018, marcheranno un rialzo dei prezzi che interesserà tanto le grandi aree metropolitane quanto le città di medie dimensioni.</w:t>
      </w:r>
    </w:p>
    <w:p w:rsidR="007B5CC7" w:rsidRDefault="007B5CC7" w:rsidP="00F463C6">
      <w:pPr>
        <w:spacing w:before="120" w:after="120"/>
        <w:jc w:val="both"/>
        <w:rPr>
          <w:sz w:val="24"/>
        </w:rPr>
      </w:pPr>
      <w:r>
        <w:rPr>
          <w:sz w:val="24"/>
        </w:rPr>
        <w:t xml:space="preserve">Per quanto riguarda, ad esempio, seppur in misura diversa, </w:t>
      </w:r>
      <w:r w:rsidR="00091E8D" w:rsidRPr="006530A7">
        <w:rPr>
          <w:sz w:val="24"/>
        </w:rPr>
        <w:t>le abitazioni localizzate nei quartieri centrali la crescita dei prezzi potrebbe essere ancora più accentuata nelle città medie che in quelle metropolitane, a configurare così uno stato di ritrovata salute generalizzat</w:t>
      </w:r>
      <w:r w:rsidR="00E23CC0">
        <w:rPr>
          <w:sz w:val="24"/>
        </w:rPr>
        <w:t>a</w:t>
      </w:r>
      <w:r w:rsidR="00091E8D" w:rsidRPr="006530A7">
        <w:rPr>
          <w:sz w:val="24"/>
        </w:rPr>
        <w:t xml:space="preserve"> rispetto alle tipologie di prodotto (nuovo/usato) ed alla scala dimensionale urbana (città grandi/</w:t>
      </w:r>
      <w:r w:rsidR="00091E8D" w:rsidRPr="008C387B">
        <w:rPr>
          <w:sz w:val="24"/>
        </w:rPr>
        <w:t>medie</w:t>
      </w:r>
      <w:r w:rsidR="00091E8D" w:rsidRPr="00D74C84">
        <w:rPr>
          <w:sz w:val="24"/>
        </w:rPr>
        <w:t>) (</w:t>
      </w:r>
      <w:r w:rsidR="00172133" w:rsidRPr="00D74C84">
        <w:rPr>
          <w:sz w:val="24"/>
        </w:rPr>
        <w:t>fig.</w:t>
      </w:r>
      <w:r w:rsidR="00B4005B" w:rsidRPr="00D74C84">
        <w:rPr>
          <w:sz w:val="24"/>
        </w:rPr>
        <w:t xml:space="preserve"> </w:t>
      </w:r>
      <w:r w:rsidR="00172133" w:rsidRPr="00D74C84">
        <w:rPr>
          <w:sz w:val="24"/>
        </w:rPr>
        <w:t>2</w:t>
      </w:r>
      <w:r w:rsidR="005A66DF" w:rsidRPr="00D74C84">
        <w:rPr>
          <w:sz w:val="24"/>
        </w:rPr>
        <w:t>2</w:t>
      </w:r>
      <w:r w:rsidR="00091E8D" w:rsidRPr="00D74C84">
        <w:rPr>
          <w:sz w:val="24"/>
        </w:rPr>
        <w:t>).</w:t>
      </w:r>
      <w:r w:rsidR="000F60ED">
        <w:rPr>
          <w:sz w:val="24"/>
        </w:rPr>
        <w:t xml:space="preserve"> </w:t>
      </w:r>
    </w:p>
    <w:p w:rsidR="007B5CC7" w:rsidRDefault="007B5CC7" w:rsidP="00F463C6">
      <w:pPr>
        <w:spacing w:before="120" w:after="120"/>
        <w:jc w:val="both"/>
        <w:rPr>
          <w:sz w:val="24"/>
        </w:rPr>
      </w:pPr>
      <w:r>
        <w:rPr>
          <w:sz w:val="24"/>
        </w:rPr>
        <w:t>Infatti il REI per le aree centrali delle città medie raggiungerà nel 2018 il valore di 71,4 mentre nelle grandi città resterà fermo su un valore di 64. In tutte le tipologie urbane le localizzazioni ultra periferiche con indici inferiori a 50 registreranno una condizione di regresso.</w:t>
      </w:r>
    </w:p>
    <w:p w:rsidR="007B5CC7" w:rsidRPr="000F60ED" w:rsidRDefault="007B5CC7" w:rsidP="007B5CC7">
      <w:pPr>
        <w:rPr>
          <w:sz w:val="24"/>
        </w:rPr>
      </w:pPr>
      <w:r>
        <w:rPr>
          <w:sz w:val="24"/>
        </w:rPr>
        <w:br w:type="page"/>
      </w:r>
    </w:p>
    <w:p w:rsidR="00091E8D" w:rsidRPr="007D38E0" w:rsidRDefault="00172133" w:rsidP="00202469">
      <w:pPr>
        <w:pStyle w:val="Titolotabella"/>
      </w:pPr>
      <w:r w:rsidRPr="007D38E0">
        <w:lastRenderedPageBreak/>
        <w:t>Fig.2</w:t>
      </w:r>
      <w:r w:rsidR="005A66DF" w:rsidRPr="007D38E0">
        <w:t>2</w:t>
      </w:r>
      <w:r w:rsidRPr="007D38E0">
        <w:t xml:space="preserve"> </w:t>
      </w:r>
      <w:r w:rsidR="00E26D59">
        <w:t xml:space="preserve">– </w:t>
      </w:r>
      <w:r w:rsidR="00091E8D" w:rsidRPr="007D38E0">
        <w:t>REI Ind</w:t>
      </w:r>
      <w:r w:rsidR="00A850A7" w:rsidRPr="007D38E0">
        <w:t xml:space="preserve">ex </w:t>
      </w:r>
      <w:r w:rsidR="007B5CC7">
        <w:t>–</w:t>
      </w:r>
      <w:r w:rsidR="00A850A7" w:rsidRPr="007D38E0">
        <w:t xml:space="preserve"> </w:t>
      </w:r>
      <w:r w:rsidR="007B5CC7">
        <w:t xml:space="preserve">Mercato </w:t>
      </w:r>
      <w:r w:rsidR="007B5CC7" w:rsidRPr="00D74C84">
        <w:t xml:space="preserve">residenziale </w:t>
      </w:r>
      <w:r w:rsidR="007D38E0" w:rsidRPr="00D74C84">
        <w:t>(Scala dei valori: 0 – 30 deterioramento; 30 – 50 regresso; 50 – 60 stabilità; 60 – 100 espansione)</w:t>
      </w:r>
    </w:p>
    <w:p w:rsidR="002D6CCB" w:rsidRDefault="00091E8D" w:rsidP="00D25DCD">
      <w:pPr>
        <w:pStyle w:val="StileFonte"/>
        <w:jc w:val="center"/>
      </w:pPr>
      <w:r w:rsidRPr="006530A7">
        <w:rPr>
          <w:noProof/>
        </w:rPr>
        <w:drawing>
          <wp:inline distT="0" distB="0" distL="0" distR="0" wp14:anchorId="72781B24" wp14:editId="04B61E55">
            <wp:extent cx="5337544" cy="4444409"/>
            <wp:effectExtent l="0" t="0" r="15875" b="13335"/>
            <wp:docPr id="465" name="Grafico 465" descr="REI INDEX - Valori mercato &quot;Corporate&quot;" title="REI INDEX - Valori mercato &quot;Corporate&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C791B" w:rsidRPr="00BC64B8" w:rsidRDefault="008D04F1" w:rsidP="00BC64B8">
      <w:pPr>
        <w:pStyle w:val="StileFonte"/>
        <w:rPr>
          <w:sz w:val="24"/>
        </w:rPr>
      </w:pPr>
      <w:r>
        <w:t>Fonte: indagine</w:t>
      </w:r>
      <w:r w:rsidR="00EC791B" w:rsidRPr="00C827B8">
        <w:t xml:space="preserve"> RUR - Yard, 2016</w:t>
      </w:r>
    </w:p>
    <w:p w:rsidR="007B5CC7" w:rsidRDefault="00091E8D" w:rsidP="00F463C6">
      <w:pPr>
        <w:spacing w:before="120" w:after="120"/>
        <w:jc w:val="both"/>
        <w:rPr>
          <w:sz w:val="24"/>
        </w:rPr>
      </w:pPr>
      <w:r w:rsidRPr="006530A7">
        <w:rPr>
          <w:sz w:val="24"/>
        </w:rPr>
        <w:t xml:space="preserve">Diversamente intonate risultano le tendenze che fanno capo al segmento </w:t>
      </w:r>
      <w:r w:rsidRPr="006530A7">
        <w:rPr>
          <w:b/>
          <w:i/>
          <w:sz w:val="24"/>
        </w:rPr>
        <w:t>corporate</w:t>
      </w:r>
      <w:r w:rsidRPr="006530A7">
        <w:rPr>
          <w:sz w:val="24"/>
        </w:rPr>
        <w:t xml:space="preserve">. Anche in questo caso l’indice REI riflette e anzi rafforza il quadro previsivo precedentemente descritto. In particolare guardando al sistema dei valori, gli indicatori si posizionano in territorio </w:t>
      </w:r>
      <w:r w:rsidRPr="007B5CC7">
        <w:rPr>
          <w:b/>
          <w:sz w:val="24"/>
        </w:rPr>
        <w:t xml:space="preserve">positivo </w:t>
      </w:r>
      <w:r w:rsidRPr="006530A7">
        <w:rPr>
          <w:sz w:val="24"/>
        </w:rPr>
        <w:t xml:space="preserve">(valore maggiore di 50) limitatamente agli immobili a </w:t>
      </w:r>
      <w:r w:rsidRPr="007B5CC7">
        <w:rPr>
          <w:b/>
          <w:sz w:val="24"/>
        </w:rPr>
        <w:t>destinazione commerciale</w:t>
      </w:r>
      <w:r w:rsidRPr="006530A7">
        <w:rPr>
          <w:sz w:val="24"/>
        </w:rPr>
        <w:t xml:space="preserve"> e ad </w:t>
      </w:r>
      <w:r w:rsidRPr="007B5CC7">
        <w:rPr>
          <w:b/>
          <w:sz w:val="24"/>
        </w:rPr>
        <w:t>uffici nelle città metropolitane</w:t>
      </w:r>
      <w:r w:rsidRPr="006530A7">
        <w:rPr>
          <w:sz w:val="24"/>
        </w:rPr>
        <w:t xml:space="preserve">. Per gli altri segmenti di prodotto nelle realtà urbane di medie dimensioni le quotazioni, scontando valori di partenza al momento (2016) assai più contenuti, il riallineamento verso l’altro dovrebbe risultare ben più </w:t>
      </w:r>
      <w:r w:rsidRPr="008C387B">
        <w:rPr>
          <w:sz w:val="24"/>
        </w:rPr>
        <w:t>faticoso (</w:t>
      </w:r>
      <w:r w:rsidR="00172133" w:rsidRPr="008C387B">
        <w:rPr>
          <w:sz w:val="24"/>
        </w:rPr>
        <w:t>fig.</w:t>
      </w:r>
      <w:r w:rsidR="00B4005B" w:rsidRPr="008C387B">
        <w:rPr>
          <w:sz w:val="24"/>
        </w:rPr>
        <w:t xml:space="preserve"> </w:t>
      </w:r>
      <w:r w:rsidR="00172133" w:rsidRPr="008C387B">
        <w:rPr>
          <w:sz w:val="24"/>
        </w:rPr>
        <w:t>2</w:t>
      </w:r>
      <w:r w:rsidR="005A66DF" w:rsidRPr="008C387B">
        <w:rPr>
          <w:sz w:val="24"/>
        </w:rPr>
        <w:t>3</w:t>
      </w:r>
      <w:r w:rsidRPr="008C387B">
        <w:rPr>
          <w:sz w:val="24"/>
        </w:rPr>
        <w:t>). Il</w:t>
      </w:r>
      <w:r w:rsidRPr="006530A7">
        <w:rPr>
          <w:sz w:val="24"/>
        </w:rPr>
        <w:t xml:space="preserve"> segmento maggiormente</w:t>
      </w:r>
      <w:r w:rsidR="00684189" w:rsidRPr="006530A7">
        <w:rPr>
          <w:sz w:val="24"/>
        </w:rPr>
        <w:t xml:space="preserve"> </w:t>
      </w:r>
      <w:r w:rsidRPr="006530A7">
        <w:rPr>
          <w:sz w:val="24"/>
        </w:rPr>
        <w:t>arretrato, con un indice sotto i 40 punti, resta nelle previsioni quello legato alla logistica industriale.</w:t>
      </w:r>
      <w:r w:rsidR="007B5CC7" w:rsidRPr="007B5CC7">
        <w:rPr>
          <w:sz w:val="24"/>
        </w:rPr>
        <w:t xml:space="preserve"> </w:t>
      </w:r>
      <w:r w:rsidR="007B5CC7">
        <w:rPr>
          <w:sz w:val="24"/>
        </w:rPr>
        <w:br w:type="page"/>
      </w:r>
    </w:p>
    <w:p w:rsidR="00091E8D" w:rsidRPr="007D38E0" w:rsidRDefault="00172133" w:rsidP="00097AFE">
      <w:pPr>
        <w:pStyle w:val="Titolotabella"/>
      </w:pPr>
      <w:r w:rsidRPr="00D74C84">
        <w:lastRenderedPageBreak/>
        <w:t>Fig.2</w:t>
      </w:r>
      <w:r w:rsidR="005A66DF" w:rsidRPr="00D74C84">
        <w:t>3</w:t>
      </w:r>
      <w:r w:rsidRPr="00D74C84">
        <w:t xml:space="preserve"> </w:t>
      </w:r>
      <w:r w:rsidR="00E26D59" w:rsidRPr="00D74C84">
        <w:t xml:space="preserve">– </w:t>
      </w:r>
      <w:r w:rsidR="00091E8D" w:rsidRPr="00D74C84">
        <w:t xml:space="preserve">REI Index </w:t>
      </w:r>
      <w:r w:rsidR="007B5CC7" w:rsidRPr="00D74C84">
        <w:t>–</w:t>
      </w:r>
      <w:r w:rsidR="00A850A7" w:rsidRPr="00D74C84">
        <w:t xml:space="preserve"> </w:t>
      </w:r>
      <w:r w:rsidR="00920EF4">
        <w:t>Valori M</w:t>
      </w:r>
      <w:r w:rsidR="007B5CC7" w:rsidRPr="00D74C84">
        <w:t>ercati corporate</w:t>
      </w:r>
      <w:r w:rsidR="007D38E0" w:rsidRPr="00D74C84">
        <w:t xml:space="preserve"> (Scala dei valori: 0 – 30 deterioramento; 30 – 50 regresso; 50 – 60 stabilità; 60 – 100 espansione)</w:t>
      </w:r>
    </w:p>
    <w:p w:rsidR="00E11C7C" w:rsidRDefault="00091E8D" w:rsidP="00E11C7C">
      <w:pPr>
        <w:pStyle w:val="StileFonte"/>
        <w:jc w:val="center"/>
      </w:pPr>
      <w:r w:rsidRPr="006530A7">
        <w:rPr>
          <w:noProof/>
        </w:rPr>
        <w:drawing>
          <wp:inline distT="0" distB="0" distL="0" distR="0" wp14:anchorId="59B645B8" wp14:editId="409D8F71">
            <wp:extent cx="5252484" cy="4540102"/>
            <wp:effectExtent l="0" t="0" r="24765" b="13335"/>
            <wp:docPr id="466" name="Grafico 466" title="REI INDEX - Valori mercato &quot;Corporate&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C791B" w:rsidRPr="00E11C7C" w:rsidRDefault="008D04F1" w:rsidP="00E11C7C">
      <w:pPr>
        <w:pStyle w:val="StileFonte"/>
        <w:jc w:val="left"/>
      </w:pPr>
      <w:r>
        <w:t>Fonte: indagine</w:t>
      </w:r>
      <w:r w:rsidR="00EC791B" w:rsidRPr="00C827B8">
        <w:t xml:space="preserve"> RUR - Yard, 2016</w:t>
      </w:r>
    </w:p>
    <w:p w:rsidR="007C3888" w:rsidRDefault="00091E8D" w:rsidP="00F463C6">
      <w:pPr>
        <w:spacing w:before="120" w:after="120"/>
        <w:jc w:val="both"/>
        <w:rPr>
          <w:sz w:val="24"/>
        </w:rPr>
      </w:pPr>
      <w:r w:rsidRPr="006530A7">
        <w:rPr>
          <w:sz w:val="24"/>
        </w:rPr>
        <w:t xml:space="preserve">Ancor più nello specifico le variazioni dei valori medi, negli indici elaborati, riscontrano andamenti positivi specie per quanto riguarda i </w:t>
      </w:r>
      <w:r w:rsidRPr="007B5CC7">
        <w:rPr>
          <w:b/>
          <w:sz w:val="24"/>
        </w:rPr>
        <w:t>negozi ubicati nelle aree centrali</w:t>
      </w:r>
      <w:r w:rsidRPr="006530A7">
        <w:rPr>
          <w:sz w:val="24"/>
        </w:rPr>
        <w:t xml:space="preserve">, sia nelle grandi città che in quelle di media dimensione, e per gli uffici posti in immobili mono </w:t>
      </w:r>
      <w:r w:rsidRPr="008C387B">
        <w:rPr>
          <w:sz w:val="24"/>
        </w:rPr>
        <w:t>funzionali cielo-terra (</w:t>
      </w:r>
      <w:r w:rsidR="00172133" w:rsidRPr="008C387B">
        <w:rPr>
          <w:sz w:val="24"/>
        </w:rPr>
        <w:t>fig.</w:t>
      </w:r>
      <w:r w:rsidR="00B4005B" w:rsidRPr="008C387B">
        <w:rPr>
          <w:sz w:val="24"/>
        </w:rPr>
        <w:t xml:space="preserve"> </w:t>
      </w:r>
      <w:r w:rsidR="00172133" w:rsidRPr="008C387B">
        <w:rPr>
          <w:sz w:val="24"/>
        </w:rPr>
        <w:t>2</w:t>
      </w:r>
      <w:r w:rsidR="005A66DF" w:rsidRPr="008C387B">
        <w:rPr>
          <w:sz w:val="24"/>
        </w:rPr>
        <w:t>4</w:t>
      </w:r>
      <w:r w:rsidR="00172133" w:rsidRPr="008C387B">
        <w:rPr>
          <w:sz w:val="24"/>
        </w:rPr>
        <w:t>).</w:t>
      </w:r>
    </w:p>
    <w:p w:rsidR="007B5CC7" w:rsidRDefault="007B5CC7" w:rsidP="000F60ED">
      <w:pPr>
        <w:jc w:val="both"/>
        <w:rPr>
          <w:sz w:val="24"/>
        </w:rPr>
      </w:pPr>
    </w:p>
    <w:p w:rsidR="007B5CC7" w:rsidRDefault="007B5CC7" w:rsidP="000F60ED">
      <w:pPr>
        <w:jc w:val="both"/>
        <w:rPr>
          <w:sz w:val="24"/>
        </w:rPr>
      </w:pPr>
    </w:p>
    <w:p w:rsidR="007B5CC7" w:rsidRPr="000F60ED" w:rsidRDefault="007B5CC7" w:rsidP="000F60ED">
      <w:pPr>
        <w:jc w:val="both"/>
        <w:rPr>
          <w:sz w:val="24"/>
        </w:rPr>
      </w:pPr>
    </w:p>
    <w:p w:rsidR="00091E8D" w:rsidRPr="006530A7" w:rsidRDefault="00172133" w:rsidP="00097AFE">
      <w:pPr>
        <w:pStyle w:val="Titolotabella"/>
      </w:pPr>
      <w:r w:rsidRPr="00D74C84">
        <w:lastRenderedPageBreak/>
        <w:t>Fig.2</w:t>
      </w:r>
      <w:r w:rsidR="005A66DF" w:rsidRPr="00D74C84">
        <w:t>4</w:t>
      </w:r>
      <w:r w:rsidRPr="00D74C84">
        <w:t xml:space="preserve"> </w:t>
      </w:r>
      <w:r w:rsidR="00E26D59" w:rsidRPr="00D74C84">
        <w:t xml:space="preserve">– </w:t>
      </w:r>
      <w:r w:rsidR="00A850A7" w:rsidRPr="00D74C84">
        <w:t xml:space="preserve">REI Index </w:t>
      </w:r>
      <w:r w:rsidR="007B5CC7" w:rsidRPr="00D74C84">
        <w:t>–</w:t>
      </w:r>
      <w:r w:rsidR="00A850A7" w:rsidRPr="00D74C84">
        <w:t xml:space="preserve"> </w:t>
      </w:r>
      <w:r w:rsidR="007B5CC7" w:rsidRPr="00D74C84">
        <w:t xml:space="preserve">Mercato corporate </w:t>
      </w:r>
      <w:r w:rsidR="007D38E0" w:rsidRPr="00D74C84">
        <w:t>(Scala dei valori: 0 – 30 deterioramento; 30 – 50 regresso; 50 – 60 stabilità; 60 – 100 espansione)</w:t>
      </w:r>
    </w:p>
    <w:p w:rsidR="00E11C7C" w:rsidRDefault="00091E8D" w:rsidP="00E11C7C">
      <w:pPr>
        <w:pStyle w:val="StileFonte"/>
        <w:jc w:val="left"/>
      </w:pPr>
      <w:r w:rsidRPr="006530A7">
        <w:rPr>
          <w:noProof/>
        </w:rPr>
        <w:drawing>
          <wp:inline distT="0" distB="0" distL="0" distR="0" wp14:anchorId="7794B598" wp14:editId="1F07765E">
            <wp:extent cx="5272644" cy="4952010"/>
            <wp:effectExtent l="0" t="0" r="23495" b="20320"/>
            <wp:docPr id="467" name="Grafico 467" descr="REI INDEX - Valori mercato &quot;Corporate&quot;" title="REI INDEX - Valori mercato &quot;Corporate&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16799" w:rsidRPr="006530A7" w:rsidRDefault="008D04F1" w:rsidP="00E11C7C">
      <w:pPr>
        <w:pStyle w:val="StileFonte"/>
        <w:jc w:val="left"/>
        <w:rPr>
          <w:b/>
          <w:sz w:val="24"/>
        </w:rPr>
      </w:pPr>
      <w:r>
        <w:t>Fonte: indagine</w:t>
      </w:r>
      <w:r w:rsidR="00B16799" w:rsidRPr="00C827B8">
        <w:t xml:space="preserve"> RUR - Yard, 2016</w:t>
      </w:r>
      <w:r w:rsidR="007D38E0" w:rsidRPr="006530A7">
        <w:rPr>
          <w:b/>
          <w:sz w:val="24"/>
        </w:rPr>
        <w:br w:type="page"/>
      </w:r>
    </w:p>
    <w:p w:rsidR="00091E8D" w:rsidRPr="0021744B" w:rsidRDefault="003B015D" w:rsidP="008A4F0A">
      <w:pPr>
        <w:pStyle w:val="Titolo1"/>
        <w:numPr>
          <w:ilvl w:val="0"/>
          <w:numId w:val="16"/>
        </w:numPr>
        <w:spacing w:after="240"/>
        <w:ind w:left="709" w:hanging="709"/>
        <w:rPr>
          <w:rFonts w:asciiTheme="minorHAnsi" w:hAnsiTheme="minorHAnsi"/>
          <w:smallCaps/>
          <w:color w:val="auto"/>
          <w:sz w:val="32"/>
          <w:szCs w:val="32"/>
        </w:rPr>
      </w:pPr>
      <w:bookmarkStart w:id="13" w:name="_Toc445539596"/>
      <w:r>
        <w:rPr>
          <w:rFonts w:asciiTheme="minorHAnsi" w:hAnsiTheme="minorHAnsi"/>
          <w:smallCaps/>
          <w:color w:val="auto"/>
          <w:sz w:val="32"/>
          <w:szCs w:val="32"/>
        </w:rPr>
        <w:lastRenderedPageBreak/>
        <w:t>I mutamenti di assetto del mercato</w:t>
      </w:r>
      <w:bookmarkEnd w:id="13"/>
    </w:p>
    <w:p w:rsidR="00091E8D" w:rsidRPr="006530A7" w:rsidRDefault="00091E8D" w:rsidP="00822ADA">
      <w:pPr>
        <w:pStyle w:val="Titolo2"/>
        <w:numPr>
          <w:ilvl w:val="1"/>
          <w:numId w:val="16"/>
        </w:numPr>
        <w:spacing w:before="640" w:after="320"/>
        <w:ind w:left="0" w:firstLine="0"/>
        <w:rPr>
          <w:rFonts w:asciiTheme="minorHAnsi" w:hAnsiTheme="minorHAnsi"/>
          <w:color w:val="auto"/>
        </w:rPr>
      </w:pPr>
      <w:bookmarkStart w:id="14" w:name="_Toc445539597"/>
      <w:r w:rsidRPr="006530A7">
        <w:rPr>
          <w:rFonts w:asciiTheme="minorHAnsi" w:hAnsiTheme="minorHAnsi"/>
          <w:color w:val="auto"/>
        </w:rPr>
        <w:t>Form</w:t>
      </w:r>
      <w:r w:rsidR="00C4108E">
        <w:rPr>
          <w:rFonts w:asciiTheme="minorHAnsi" w:hAnsiTheme="minorHAnsi"/>
          <w:color w:val="auto"/>
        </w:rPr>
        <w:t>azione dei prezzi,</w:t>
      </w:r>
      <w:r w:rsidRPr="006530A7">
        <w:rPr>
          <w:rFonts w:asciiTheme="minorHAnsi" w:hAnsiTheme="minorHAnsi"/>
          <w:color w:val="auto"/>
        </w:rPr>
        <w:t xml:space="preserve"> tempi di colloca</w:t>
      </w:r>
      <w:r w:rsidR="003B015D">
        <w:rPr>
          <w:rFonts w:asciiTheme="minorHAnsi" w:hAnsiTheme="minorHAnsi"/>
          <w:color w:val="auto"/>
        </w:rPr>
        <w:t>zione</w:t>
      </w:r>
      <w:r w:rsidR="00C4108E">
        <w:rPr>
          <w:rFonts w:asciiTheme="minorHAnsi" w:hAnsiTheme="minorHAnsi"/>
          <w:color w:val="auto"/>
        </w:rPr>
        <w:t xml:space="preserve"> e servizi immobiliari</w:t>
      </w:r>
      <w:bookmarkEnd w:id="14"/>
    </w:p>
    <w:p w:rsidR="00091E8D" w:rsidRPr="006530A7" w:rsidRDefault="00091E8D" w:rsidP="00F463C6">
      <w:pPr>
        <w:spacing w:before="120" w:after="120"/>
        <w:ind w:right="425"/>
        <w:jc w:val="both"/>
        <w:rPr>
          <w:sz w:val="24"/>
        </w:rPr>
      </w:pPr>
      <w:r w:rsidRPr="006530A7">
        <w:rPr>
          <w:sz w:val="24"/>
        </w:rPr>
        <w:t xml:space="preserve">La lunga fase recessiva, se da un lato ha generato un profondo ridimensionamento della consistenza e del peso del mercato immobiliare italiano, evidenziando una sensibile contrazione dei volumi e dei valori, dall’altro ha </w:t>
      </w:r>
      <w:r w:rsidR="00D74C84">
        <w:rPr>
          <w:sz w:val="24"/>
        </w:rPr>
        <w:t>prodotto</w:t>
      </w:r>
      <w:r w:rsidRPr="006530A7">
        <w:rPr>
          <w:sz w:val="24"/>
        </w:rPr>
        <w:t xml:space="preserve"> anche mutamenti di assetto nell’indotto economico e dei servizi</w:t>
      </w:r>
      <w:r w:rsidR="00C4108E">
        <w:rPr>
          <w:sz w:val="24"/>
        </w:rPr>
        <w:t>, determinando</w:t>
      </w:r>
      <w:r w:rsidRPr="006530A7">
        <w:rPr>
          <w:sz w:val="24"/>
        </w:rPr>
        <w:t xml:space="preserve"> alcune trasformazioni in ordine ai comportamenti e alle attese dei soggetti di domanda e di offerta. Si tratta di processi che, almeno in parte, sono destinati a modificare in modo irreversibile lo scenario su cui muovono i protagonisti del settore e che indirizzano il mercato nella fase di ripresa appena avviata. </w:t>
      </w:r>
    </w:p>
    <w:p w:rsidR="00091E8D" w:rsidRPr="006530A7" w:rsidRDefault="00091E8D" w:rsidP="00F463C6">
      <w:pPr>
        <w:spacing w:before="120" w:after="120"/>
        <w:ind w:right="425"/>
        <w:jc w:val="both"/>
        <w:rPr>
          <w:sz w:val="24"/>
        </w:rPr>
      </w:pPr>
      <w:r w:rsidRPr="006530A7">
        <w:rPr>
          <w:sz w:val="24"/>
        </w:rPr>
        <w:t xml:space="preserve">Uno dei temi </w:t>
      </w:r>
      <w:r w:rsidR="00C4108E">
        <w:rPr>
          <w:sz w:val="24"/>
        </w:rPr>
        <w:t xml:space="preserve">di </w:t>
      </w:r>
      <w:r w:rsidRPr="006530A7">
        <w:rPr>
          <w:sz w:val="24"/>
        </w:rPr>
        <w:t xml:space="preserve">maggiore rilievo riguarda i </w:t>
      </w:r>
      <w:r w:rsidRPr="00C4108E">
        <w:rPr>
          <w:b/>
          <w:sz w:val="24"/>
        </w:rPr>
        <w:t>fattori qualitativi</w:t>
      </w:r>
      <w:r w:rsidRPr="006530A7">
        <w:rPr>
          <w:sz w:val="24"/>
        </w:rPr>
        <w:t xml:space="preserve"> caratterizzan</w:t>
      </w:r>
      <w:r w:rsidR="00C4108E">
        <w:rPr>
          <w:sz w:val="24"/>
        </w:rPr>
        <w:t>ti l</w:t>
      </w:r>
      <w:r w:rsidRPr="006530A7">
        <w:rPr>
          <w:sz w:val="24"/>
        </w:rPr>
        <w:t xml:space="preserve">’offerta immobiliare che segnano alcune profonde innovazioni </w:t>
      </w:r>
      <w:r w:rsidRPr="00C4108E">
        <w:rPr>
          <w:b/>
          <w:sz w:val="24"/>
        </w:rPr>
        <w:t>nella formazione dei prezzi</w:t>
      </w:r>
      <w:r w:rsidRPr="006530A7">
        <w:rPr>
          <w:sz w:val="24"/>
        </w:rPr>
        <w:t>, nelle aspettative di consumatori e investitori, nei tempi di collocamento e di commercializzazione dei prodotti.</w:t>
      </w:r>
    </w:p>
    <w:p w:rsidR="00091E8D" w:rsidRPr="00B4005B" w:rsidRDefault="00091E8D" w:rsidP="00F463C6">
      <w:pPr>
        <w:spacing w:before="120" w:after="120"/>
        <w:ind w:right="425"/>
        <w:jc w:val="both"/>
        <w:rPr>
          <w:sz w:val="24"/>
        </w:rPr>
      </w:pPr>
      <w:r w:rsidRPr="006530A7">
        <w:rPr>
          <w:sz w:val="24"/>
        </w:rPr>
        <w:t xml:space="preserve">In particolare si vanno affermando </w:t>
      </w:r>
      <w:r w:rsidRPr="00B4005B">
        <w:rPr>
          <w:sz w:val="24"/>
        </w:rPr>
        <w:t>nuovi modelli nell’apprezzamento del valore di un immobile che pongono in primo piano specifiche esigenze degli utilizzatori.</w:t>
      </w:r>
    </w:p>
    <w:p w:rsidR="00E11C7C" w:rsidRPr="00B4005B" w:rsidRDefault="00E11C7C" w:rsidP="00F463C6">
      <w:pPr>
        <w:spacing w:before="120" w:after="120"/>
        <w:ind w:right="425"/>
        <w:jc w:val="both"/>
        <w:rPr>
          <w:sz w:val="24"/>
        </w:rPr>
      </w:pPr>
      <w:r w:rsidRPr="00B4005B">
        <w:rPr>
          <w:sz w:val="24"/>
        </w:rPr>
        <w:t xml:space="preserve">Nel caso delle abitazioni l’indagine RUR-Yard dimostra come stiano cambiando significativamente i parametri che determinano la disponibilità a riconoscere valore aggiunto al parco in offerta. </w:t>
      </w:r>
    </w:p>
    <w:p w:rsidR="00E11C7C" w:rsidRPr="00B4005B" w:rsidRDefault="00E11C7C" w:rsidP="00F463C6">
      <w:pPr>
        <w:spacing w:before="120" w:after="120"/>
        <w:ind w:right="425"/>
        <w:jc w:val="both"/>
        <w:rPr>
          <w:sz w:val="24"/>
        </w:rPr>
      </w:pPr>
      <w:r w:rsidRPr="00B4005B">
        <w:rPr>
          <w:sz w:val="24"/>
        </w:rPr>
        <w:t xml:space="preserve">Secondo gli esperti di territorio, i due fattori decisivi nella formazione del prezzo sono costituiti dalla </w:t>
      </w:r>
      <w:r w:rsidRPr="00C4108E">
        <w:rPr>
          <w:b/>
          <w:sz w:val="24"/>
        </w:rPr>
        <w:t>localizzazione</w:t>
      </w:r>
      <w:r w:rsidRPr="00B4005B">
        <w:rPr>
          <w:sz w:val="24"/>
        </w:rPr>
        <w:t xml:space="preserve"> e dalla </w:t>
      </w:r>
      <w:r w:rsidRPr="00C4108E">
        <w:rPr>
          <w:b/>
          <w:sz w:val="24"/>
        </w:rPr>
        <w:t>accessibilità</w:t>
      </w:r>
      <w:r w:rsidRPr="00B4005B">
        <w:rPr>
          <w:sz w:val="24"/>
        </w:rPr>
        <w:t xml:space="preserve">, su cui converge il 68% dei tecnici, e dai costi di </w:t>
      </w:r>
      <w:r w:rsidRPr="00C4108E">
        <w:rPr>
          <w:b/>
          <w:sz w:val="24"/>
        </w:rPr>
        <w:t>gestione</w:t>
      </w:r>
      <w:r w:rsidRPr="00B4005B">
        <w:rPr>
          <w:sz w:val="24"/>
        </w:rPr>
        <w:t xml:space="preserve"> e </w:t>
      </w:r>
      <w:r w:rsidRPr="00C4108E">
        <w:rPr>
          <w:b/>
          <w:sz w:val="24"/>
        </w:rPr>
        <w:t>manutenzione</w:t>
      </w:r>
      <w:r w:rsidRPr="00B4005B">
        <w:rPr>
          <w:sz w:val="24"/>
        </w:rPr>
        <w:t xml:space="preserve">, seconda voce con il 27% delle </w:t>
      </w:r>
      <w:r w:rsidRPr="008C387B">
        <w:rPr>
          <w:sz w:val="24"/>
        </w:rPr>
        <w:t>risposte (fig.</w:t>
      </w:r>
      <w:r w:rsidR="00B4005B" w:rsidRPr="008C387B">
        <w:rPr>
          <w:sz w:val="24"/>
        </w:rPr>
        <w:t xml:space="preserve"> </w:t>
      </w:r>
      <w:r w:rsidRPr="008C387B">
        <w:rPr>
          <w:sz w:val="24"/>
        </w:rPr>
        <w:t>2</w:t>
      </w:r>
      <w:r w:rsidR="001B5AE7" w:rsidRPr="008C387B">
        <w:rPr>
          <w:sz w:val="24"/>
        </w:rPr>
        <w:t>5</w:t>
      </w:r>
      <w:r w:rsidRPr="008C387B">
        <w:rPr>
          <w:sz w:val="24"/>
        </w:rPr>
        <w:t>).</w:t>
      </w:r>
    </w:p>
    <w:p w:rsidR="00E11C7C" w:rsidRPr="00B4005B" w:rsidRDefault="00E11C7C" w:rsidP="00F463C6">
      <w:pPr>
        <w:spacing w:before="120" w:after="120"/>
        <w:ind w:right="425"/>
        <w:jc w:val="both"/>
        <w:rPr>
          <w:sz w:val="24"/>
        </w:rPr>
      </w:pPr>
      <w:r w:rsidRPr="00B4005B">
        <w:rPr>
          <w:sz w:val="24"/>
        </w:rPr>
        <w:t>Per quanto attiene all’accessibilità, è evidente che sia da porre in relazione all’addensamento metropolitano che ha portato, negli anni del boom immobiliare, ad allargare significativamente il raggio d’acquisto fino alle seconde cinture urbane. Questo divorzio fra residenza e luogo di lavoro sembra ora pesare notevolmente sia in termini di costi, di stress e impatti ambientali.</w:t>
      </w:r>
    </w:p>
    <w:p w:rsidR="00652E63" w:rsidRPr="006530A7" w:rsidRDefault="00E11C7C" w:rsidP="00F463C6">
      <w:pPr>
        <w:spacing w:before="120" w:after="120"/>
        <w:ind w:right="425"/>
        <w:jc w:val="both"/>
        <w:rPr>
          <w:sz w:val="24"/>
          <w:szCs w:val="24"/>
        </w:rPr>
      </w:pPr>
      <w:r w:rsidRPr="00B4005B">
        <w:rPr>
          <w:sz w:val="24"/>
        </w:rPr>
        <w:t>Altrettanto significativ</w:t>
      </w:r>
      <w:r w:rsidR="00CB6DFC">
        <w:rPr>
          <w:sz w:val="24"/>
        </w:rPr>
        <w:t>a</w:t>
      </w:r>
      <w:r w:rsidRPr="00B4005B">
        <w:rPr>
          <w:sz w:val="24"/>
        </w:rPr>
        <w:t xml:space="preserve"> è una rinnovata attenzione sul prodotto casa, la sua durabilità, i costi che si manifestano nel tempo, inaspettatamente, per la cattiva realizzazione costruttiva. Dal risparmio energetico, alla qualità dei materiali, fino </w:t>
      </w:r>
      <w:r w:rsidRPr="00B4005B">
        <w:rPr>
          <w:sz w:val="24"/>
        </w:rPr>
        <w:lastRenderedPageBreak/>
        <w:t>alle tecnologie e alla domotica, sembra emergere un investitore – acquirente sempre più attento al</w:t>
      </w:r>
      <w:r w:rsidRPr="006530A7">
        <w:rPr>
          <w:sz w:val="24"/>
          <w:szCs w:val="24"/>
        </w:rPr>
        <w:t xml:space="preserve"> valore intrinseco del bene in quanto ne è diretto utilizzatore, ma anche </w:t>
      </w:r>
      <w:r w:rsidR="00C4108E">
        <w:rPr>
          <w:sz w:val="24"/>
          <w:szCs w:val="24"/>
        </w:rPr>
        <w:t>con minori</w:t>
      </w:r>
      <w:r w:rsidRPr="006530A7">
        <w:rPr>
          <w:sz w:val="24"/>
          <w:szCs w:val="24"/>
        </w:rPr>
        <w:t xml:space="preserve"> aspettative di capital gain. Come il consumatore diventa sempre più sobrio e competente, anche l’acquirente di case diviene più attento alle caratteristiche del bene in vendita. Si tratta di indicazioni importanti per gli operatori e per gli istituti di credito, in quanto tali paradigmi potranno sempre più incider</w:t>
      </w:r>
      <w:r w:rsidR="00CB6DFC">
        <w:rPr>
          <w:sz w:val="24"/>
          <w:szCs w:val="24"/>
        </w:rPr>
        <w:t>e sul valore reale del bene</w:t>
      </w:r>
      <w:r w:rsidR="00C4108E">
        <w:rPr>
          <w:sz w:val="24"/>
          <w:szCs w:val="24"/>
        </w:rPr>
        <w:t xml:space="preserve"> e </w:t>
      </w:r>
      <w:r w:rsidR="0097256B">
        <w:rPr>
          <w:sz w:val="24"/>
          <w:szCs w:val="24"/>
        </w:rPr>
        <w:t>sulla</w:t>
      </w:r>
      <w:r w:rsidR="00C4108E">
        <w:rPr>
          <w:sz w:val="24"/>
          <w:szCs w:val="24"/>
        </w:rPr>
        <w:t xml:space="preserve"> sua futura commerciabilità</w:t>
      </w:r>
      <w:r w:rsidR="00CB6DFC">
        <w:rPr>
          <w:sz w:val="24"/>
          <w:szCs w:val="24"/>
        </w:rPr>
        <w:t>.</w:t>
      </w:r>
    </w:p>
    <w:p w:rsidR="00FD4529" w:rsidRPr="006530A7" w:rsidRDefault="00506EE0" w:rsidP="00097AFE">
      <w:pPr>
        <w:pStyle w:val="Titolotabella"/>
      </w:pPr>
      <w:r>
        <w:t>Fig.</w:t>
      </w:r>
      <w:r w:rsidR="00092339" w:rsidRPr="006530A7">
        <w:t>2</w:t>
      </w:r>
      <w:r w:rsidR="001B5AE7">
        <w:t>5</w:t>
      </w:r>
      <w:r w:rsidR="00A850A7">
        <w:t xml:space="preserve"> </w:t>
      </w:r>
      <w:r w:rsidR="00E26D59">
        <w:t xml:space="preserve">– </w:t>
      </w:r>
      <w:r w:rsidR="00FD4529" w:rsidRPr="006530A7">
        <w:t>Fattori decisivi nella formazione del prezzo di un’abitazione (val.%)</w:t>
      </w:r>
    </w:p>
    <w:p w:rsidR="00E11C7C" w:rsidRDefault="00091E8D" w:rsidP="00BC64B8">
      <w:pPr>
        <w:pStyle w:val="StileFonte"/>
      </w:pPr>
      <w:r w:rsidRPr="006530A7">
        <w:rPr>
          <w:noProof/>
          <w:sz w:val="24"/>
          <w:szCs w:val="24"/>
        </w:rPr>
        <w:drawing>
          <wp:inline distT="0" distB="0" distL="0" distR="0" wp14:anchorId="7C54A812" wp14:editId="56C0B605">
            <wp:extent cx="5172075" cy="2600325"/>
            <wp:effectExtent l="0" t="0" r="9525" b="9525"/>
            <wp:docPr id="468" name="Grafico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52E63" w:rsidRDefault="008D04F1" w:rsidP="00BC64B8">
      <w:pPr>
        <w:pStyle w:val="StileFonte"/>
      </w:pPr>
      <w:r>
        <w:t>Fonte: indagine</w:t>
      </w:r>
      <w:r w:rsidR="0060797E" w:rsidRPr="00C827B8">
        <w:t xml:space="preserve"> RUR - Yard, 2016</w:t>
      </w:r>
    </w:p>
    <w:p w:rsidR="00091E8D" w:rsidRPr="006530A7" w:rsidRDefault="00091E8D" w:rsidP="00F463C6">
      <w:pPr>
        <w:spacing w:before="120" w:after="120"/>
        <w:jc w:val="both"/>
        <w:rPr>
          <w:sz w:val="24"/>
          <w:szCs w:val="24"/>
        </w:rPr>
      </w:pPr>
      <w:r w:rsidRPr="006530A7">
        <w:rPr>
          <w:sz w:val="24"/>
          <w:szCs w:val="24"/>
        </w:rPr>
        <w:t>Ma anche su altre tipologie immobiliari il mercato mostra una propensione sempre maggiore verso i prodotti che più di altri si sintonizzano sulle esigenze degli utilizzatori. Uno degli esempi forse più emblematici riguarda i capannoni per la logistica per i quali, l’assenza di alcune caratteristiche strutturali o di contesto o la non rispondenza ad alcuni requisiti tecnico-prestazionali di base (altezze minime, distanze interasse, impianti</w:t>
      </w:r>
      <w:r w:rsidR="0097256B">
        <w:rPr>
          <w:sz w:val="24"/>
          <w:szCs w:val="24"/>
        </w:rPr>
        <w:t xml:space="preserve"> tecnologici, spazi d</w:t>
      </w:r>
      <w:r w:rsidR="00202469">
        <w:rPr>
          <w:sz w:val="24"/>
          <w:szCs w:val="24"/>
        </w:rPr>
        <w:t>i manovra</w:t>
      </w:r>
      <w:r w:rsidRPr="006530A7">
        <w:rPr>
          <w:sz w:val="24"/>
          <w:szCs w:val="24"/>
        </w:rPr>
        <w:t xml:space="preserve">…) pongono oramai ai margini una parte considerevole dell’offerta presente sul mercato. </w:t>
      </w:r>
    </w:p>
    <w:p w:rsidR="00091E8D" w:rsidRPr="006530A7" w:rsidRDefault="00091E8D" w:rsidP="00F463C6">
      <w:pPr>
        <w:spacing w:before="120" w:after="120"/>
        <w:jc w:val="both"/>
        <w:rPr>
          <w:sz w:val="24"/>
          <w:szCs w:val="24"/>
        </w:rPr>
      </w:pPr>
      <w:r w:rsidRPr="006530A7">
        <w:rPr>
          <w:sz w:val="24"/>
          <w:szCs w:val="24"/>
        </w:rPr>
        <w:t xml:space="preserve">L’insieme di queste condizioni, unitamente ad un ciclo economico-immobiliare in fase bassa, contribuiscono a non accorciare, se non ad allungare ulteriormente, i tempi medi di realizzo nelle compravendite. A riguardo lo scenario che deriva dall’indagine indica per il comparto residenziale una fase di accentuata e diffusa stabilità per le </w:t>
      </w:r>
      <w:r w:rsidRPr="006530A7">
        <w:rPr>
          <w:sz w:val="24"/>
          <w:szCs w:val="24"/>
        </w:rPr>
        <w:lastRenderedPageBreak/>
        <w:t>abitazioni usate, mentre p</w:t>
      </w:r>
      <w:r w:rsidR="00C4108E">
        <w:rPr>
          <w:sz w:val="24"/>
          <w:szCs w:val="24"/>
        </w:rPr>
        <w:t>er quelle nuove la tendenza è a</w:t>
      </w:r>
      <w:r w:rsidRPr="006530A7">
        <w:rPr>
          <w:sz w:val="24"/>
          <w:szCs w:val="24"/>
        </w:rPr>
        <w:t xml:space="preserve"> un allungamento dei tempi soprattutto nelle città del Nord Italia, nei contesti metropolitani come nei comuni intermedi.</w:t>
      </w:r>
    </w:p>
    <w:p w:rsidR="00091E8D" w:rsidRDefault="00091E8D" w:rsidP="00F463C6">
      <w:pPr>
        <w:spacing w:before="120" w:after="120"/>
        <w:jc w:val="both"/>
        <w:rPr>
          <w:sz w:val="24"/>
          <w:szCs w:val="24"/>
        </w:rPr>
      </w:pPr>
      <w:r w:rsidRPr="006530A7">
        <w:rPr>
          <w:sz w:val="24"/>
          <w:szCs w:val="24"/>
        </w:rPr>
        <w:t>Negli altri segmenti di mercato le opinioni convergono su un netto e generalizzato allungamento dei tempi che viene segnalato dalla maggior parte del campione intervistato e che investe in modo pressoché indistinto il mercato degli uffici, il commerciale e l’industriale, con punte particolarm</w:t>
      </w:r>
      <w:r w:rsidR="00471F83" w:rsidRPr="006530A7">
        <w:rPr>
          <w:sz w:val="24"/>
          <w:szCs w:val="24"/>
        </w:rPr>
        <w:t xml:space="preserve">ente elevate nel Nord del Paese </w:t>
      </w:r>
      <w:r w:rsidRPr="008C387B">
        <w:rPr>
          <w:sz w:val="24"/>
          <w:szCs w:val="24"/>
        </w:rPr>
        <w:t>(</w:t>
      </w:r>
      <w:r w:rsidR="00F908F5" w:rsidRPr="008C387B">
        <w:rPr>
          <w:sz w:val="24"/>
          <w:szCs w:val="24"/>
        </w:rPr>
        <w:t>t</w:t>
      </w:r>
      <w:r w:rsidRPr="008C387B">
        <w:rPr>
          <w:sz w:val="24"/>
          <w:szCs w:val="24"/>
        </w:rPr>
        <w:t>ab.</w:t>
      </w:r>
      <w:r w:rsidR="00B4005B" w:rsidRPr="008C387B">
        <w:rPr>
          <w:sz w:val="24"/>
          <w:szCs w:val="24"/>
        </w:rPr>
        <w:t xml:space="preserve"> </w:t>
      </w:r>
      <w:r w:rsidR="00F908F5" w:rsidRPr="008C387B">
        <w:rPr>
          <w:sz w:val="24"/>
          <w:szCs w:val="24"/>
        </w:rPr>
        <w:t>4).</w:t>
      </w:r>
    </w:p>
    <w:p w:rsidR="00652E63" w:rsidRPr="006530A7" w:rsidRDefault="00652E63" w:rsidP="00652E63">
      <w:pPr>
        <w:pStyle w:val="Titolotabella"/>
        <w:rPr>
          <w:sz w:val="24"/>
          <w:szCs w:val="24"/>
        </w:rPr>
      </w:pPr>
      <w:r>
        <w:t>Tab.</w:t>
      </w:r>
      <w:r w:rsidRPr="00040C42">
        <w:t xml:space="preserve">4 </w:t>
      </w:r>
      <w:r w:rsidR="00E26D59">
        <w:t xml:space="preserve">– </w:t>
      </w:r>
      <w:r w:rsidRPr="00040C42">
        <w:t>Fase dei tempi di realizzo delle compravendite immobiliari, per ripartizione geografica (val. %)</w:t>
      </w:r>
    </w:p>
    <w:tbl>
      <w:tblPr>
        <w:tblStyle w:val="Sfondomedio1-Colore1"/>
        <w:tblW w:w="8662" w:type="dxa"/>
        <w:tblLook w:val="04A0" w:firstRow="1" w:lastRow="0" w:firstColumn="1" w:lastColumn="0" w:noHBand="0" w:noVBand="1"/>
      </w:tblPr>
      <w:tblGrid>
        <w:gridCol w:w="2085"/>
        <w:gridCol w:w="1474"/>
        <w:gridCol w:w="1559"/>
        <w:gridCol w:w="1560"/>
        <w:gridCol w:w="1984"/>
      </w:tblGrid>
      <w:tr w:rsidR="00F908F5" w:rsidRPr="00692767" w:rsidTr="00C2718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F908F5" w:rsidP="00652E63">
            <w:pPr>
              <w:jc w:val="center"/>
              <w:rPr>
                <w:rFonts w:eastAsia="Times New Roman" w:cs="Arial"/>
                <w:color w:val="000000"/>
                <w:lang w:eastAsia="it-IT"/>
              </w:rPr>
            </w:pPr>
          </w:p>
        </w:tc>
        <w:tc>
          <w:tcPr>
            <w:tcW w:w="1474" w:type="dxa"/>
            <w:vAlign w:val="center"/>
            <w:hideMark/>
          </w:tcPr>
          <w:p w:rsidR="00F908F5" w:rsidRPr="00C27182" w:rsidRDefault="00F908F5"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Nord</w:t>
            </w:r>
          </w:p>
        </w:tc>
        <w:tc>
          <w:tcPr>
            <w:tcW w:w="1559" w:type="dxa"/>
            <w:vAlign w:val="center"/>
            <w:hideMark/>
          </w:tcPr>
          <w:p w:rsidR="00F908F5" w:rsidRPr="00C27182" w:rsidRDefault="00F908F5"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Centro</w:t>
            </w:r>
          </w:p>
        </w:tc>
        <w:tc>
          <w:tcPr>
            <w:tcW w:w="1560" w:type="dxa"/>
            <w:vAlign w:val="center"/>
            <w:hideMark/>
          </w:tcPr>
          <w:p w:rsidR="00F908F5" w:rsidRPr="00C27182" w:rsidRDefault="00F908F5"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Sud e  isole</w:t>
            </w:r>
          </w:p>
        </w:tc>
        <w:tc>
          <w:tcPr>
            <w:tcW w:w="1984" w:type="dxa"/>
            <w:vAlign w:val="center"/>
            <w:hideMark/>
          </w:tcPr>
          <w:p w:rsidR="00F908F5" w:rsidRPr="00C27182" w:rsidRDefault="00F908F5"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Totale</w:t>
            </w:r>
          </w:p>
        </w:tc>
      </w:tr>
      <w:tr w:rsidR="006E0347" w:rsidRPr="00692767" w:rsidTr="00C2718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F908F5" w:rsidP="00F908F5">
            <w:pPr>
              <w:rPr>
                <w:rFonts w:eastAsia="Times New Roman" w:cs="Arial"/>
                <w:bCs w:val="0"/>
                <w:color w:val="000000"/>
                <w:lang w:eastAsia="it-IT"/>
              </w:rPr>
            </w:pPr>
            <w:r w:rsidRPr="00652E63">
              <w:rPr>
                <w:rFonts w:eastAsia="Times New Roman" w:cs="Arial"/>
                <w:bCs w:val="0"/>
                <w:color w:val="000000"/>
                <w:lang w:eastAsia="it-IT"/>
              </w:rPr>
              <w:t xml:space="preserve">Commerciale </w:t>
            </w:r>
          </w:p>
        </w:tc>
        <w:tc>
          <w:tcPr>
            <w:tcW w:w="1474"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it-IT"/>
              </w:rPr>
            </w:pPr>
            <w:r w:rsidRPr="00652E63">
              <w:rPr>
                <w:rFonts w:eastAsia="Times New Roman" w:cs="Arial"/>
                <w:color w:val="000000"/>
                <w:lang w:eastAsia="it-IT"/>
              </w:rPr>
              <w:t xml:space="preserve"> </w:t>
            </w:r>
          </w:p>
        </w:tc>
        <w:tc>
          <w:tcPr>
            <w:tcW w:w="1559"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it-IT"/>
              </w:rPr>
            </w:pPr>
            <w:r w:rsidRPr="00652E63">
              <w:rPr>
                <w:rFonts w:eastAsia="Times New Roman" w:cs="Arial"/>
                <w:color w:val="000000"/>
                <w:lang w:eastAsia="it-IT"/>
              </w:rPr>
              <w:t xml:space="preserve"> </w:t>
            </w:r>
          </w:p>
        </w:tc>
        <w:tc>
          <w:tcPr>
            <w:tcW w:w="1560"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it-IT"/>
              </w:rPr>
            </w:pPr>
            <w:r w:rsidRPr="00652E63">
              <w:rPr>
                <w:rFonts w:eastAsia="Times New Roman" w:cs="Arial"/>
                <w:color w:val="000000"/>
                <w:lang w:eastAsia="it-IT"/>
              </w:rPr>
              <w:t xml:space="preserve"> </w:t>
            </w:r>
          </w:p>
        </w:tc>
        <w:tc>
          <w:tcPr>
            <w:tcW w:w="1984"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it-IT"/>
              </w:rPr>
            </w:pPr>
            <w:r w:rsidRPr="00652E63">
              <w:rPr>
                <w:rFonts w:eastAsia="Times New Roman" w:cs="Arial"/>
                <w:color w:val="000000"/>
                <w:lang w:eastAsia="it-IT"/>
              </w:rPr>
              <w:t xml:space="preserve"> </w:t>
            </w:r>
          </w:p>
        </w:tc>
      </w:tr>
      <w:tr w:rsidR="00F908F5" w:rsidRPr="00692767" w:rsidTr="00C2718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F908F5" w:rsidRPr="00652E63">
              <w:rPr>
                <w:rFonts w:eastAsia="Times New Roman" w:cs="Arial"/>
                <w:b w:val="0"/>
                <w:color w:val="000000"/>
                <w:lang w:eastAsia="it-IT"/>
              </w:rPr>
              <w:t xml:space="preserve">Allungamento </w:t>
            </w:r>
          </w:p>
        </w:tc>
        <w:tc>
          <w:tcPr>
            <w:tcW w:w="1474"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55,1</w:t>
            </w:r>
          </w:p>
        </w:tc>
        <w:tc>
          <w:tcPr>
            <w:tcW w:w="1559"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54,2</w:t>
            </w:r>
          </w:p>
        </w:tc>
        <w:tc>
          <w:tcPr>
            <w:tcW w:w="1560"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52,6</w:t>
            </w:r>
          </w:p>
        </w:tc>
        <w:tc>
          <w:tcPr>
            <w:tcW w:w="1984" w:type="dxa"/>
            <w:noWrap/>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54,1</w:t>
            </w:r>
          </w:p>
        </w:tc>
      </w:tr>
      <w:tr w:rsidR="00F908F5" w:rsidRPr="00692767" w:rsidTr="00C2718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F908F5" w:rsidRPr="00652E63">
              <w:rPr>
                <w:rFonts w:eastAsia="Times New Roman" w:cs="Arial"/>
                <w:b w:val="0"/>
                <w:color w:val="000000"/>
                <w:lang w:eastAsia="it-IT"/>
              </w:rPr>
              <w:t xml:space="preserve">Stabilità </w:t>
            </w:r>
          </w:p>
        </w:tc>
        <w:tc>
          <w:tcPr>
            <w:tcW w:w="1474"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44,9</w:t>
            </w:r>
          </w:p>
        </w:tc>
        <w:tc>
          <w:tcPr>
            <w:tcW w:w="1559"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45,8</w:t>
            </w:r>
          </w:p>
        </w:tc>
        <w:tc>
          <w:tcPr>
            <w:tcW w:w="1560"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42,1</w:t>
            </w:r>
          </w:p>
        </w:tc>
        <w:tc>
          <w:tcPr>
            <w:tcW w:w="1984" w:type="dxa"/>
            <w:noWrap/>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44,1</w:t>
            </w:r>
          </w:p>
        </w:tc>
      </w:tr>
      <w:tr w:rsidR="00F908F5" w:rsidRPr="00692767" w:rsidTr="00C27182">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F908F5" w:rsidRPr="00652E63">
              <w:rPr>
                <w:rFonts w:eastAsia="Times New Roman" w:cs="Arial"/>
                <w:b w:val="0"/>
                <w:color w:val="000000"/>
                <w:lang w:eastAsia="it-IT"/>
              </w:rPr>
              <w:t xml:space="preserve">Accorciamento </w:t>
            </w:r>
          </w:p>
        </w:tc>
        <w:tc>
          <w:tcPr>
            <w:tcW w:w="1474"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 </w:t>
            </w:r>
            <w:r w:rsidR="0060797E" w:rsidRPr="00652E63">
              <w:rPr>
                <w:rFonts w:eastAsia="Times New Roman" w:cs="Arial"/>
                <w:lang w:eastAsia="it-IT"/>
              </w:rPr>
              <w:t>-</w:t>
            </w:r>
          </w:p>
        </w:tc>
        <w:tc>
          <w:tcPr>
            <w:tcW w:w="1559"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 </w:t>
            </w:r>
            <w:r w:rsidR="0060797E" w:rsidRPr="00652E63">
              <w:rPr>
                <w:rFonts w:eastAsia="Times New Roman" w:cs="Arial"/>
                <w:lang w:eastAsia="it-IT"/>
              </w:rPr>
              <w:t>-</w:t>
            </w:r>
          </w:p>
        </w:tc>
        <w:tc>
          <w:tcPr>
            <w:tcW w:w="1560"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5,3</w:t>
            </w:r>
          </w:p>
        </w:tc>
        <w:tc>
          <w:tcPr>
            <w:tcW w:w="1984" w:type="dxa"/>
            <w:noWrap/>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1,8</w:t>
            </w:r>
          </w:p>
        </w:tc>
      </w:tr>
      <w:tr w:rsidR="00F908F5" w:rsidRPr="00692767" w:rsidTr="00C2718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652E63" w:rsidRPr="00652E63">
              <w:rPr>
                <w:rFonts w:eastAsia="Times New Roman" w:cs="Arial"/>
                <w:b w:val="0"/>
                <w:color w:val="000000"/>
                <w:lang w:eastAsia="it-IT"/>
              </w:rPr>
              <w:t>Totale</w:t>
            </w:r>
          </w:p>
        </w:tc>
        <w:tc>
          <w:tcPr>
            <w:tcW w:w="1474"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i/>
                <w:iCs/>
                <w:lang w:eastAsia="it-IT"/>
              </w:rPr>
            </w:pPr>
            <w:r w:rsidRPr="00652E63">
              <w:rPr>
                <w:rFonts w:eastAsia="Times New Roman" w:cs="Arial"/>
                <w:i/>
                <w:iCs/>
                <w:lang w:eastAsia="it-IT"/>
              </w:rPr>
              <w:t>100,0</w:t>
            </w:r>
          </w:p>
        </w:tc>
        <w:tc>
          <w:tcPr>
            <w:tcW w:w="1559"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i/>
                <w:iCs/>
                <w:lang w:eastAsia="it-IT"/>
              </w:rPr>
            </w:pPr>
            <w:r w:rsidRPr="00652E63">
              <w:rPr>
                <w:rFonts w:eastAsia="Times New Roman" w:cs="Arial"/>
                <w:i/>
                <w:iCs/>
                <w:lang w:eastAsia="it-IT"/>
              </w:rPr>
              <w:t>100,0</w:t>
            </w:r>
          </w:p>
        </w:tc>
        <w:tc>
          <w:tcPr>
            <w:tcW w:w="1560"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i/>
                <w:iCs/>
                <w:lang w:eastAsia="it-IT"/>
              </w:rPr>
            </w:pPr>
            <w:r w:rsidRPr="00652E63">
              <w:rPr>
                <w:rFonts w:eastAsia="Times New Roman" w:cs="Arial"/>
                <w:i/>
                <w:iCs/>
                <w:lang w:eastAsia="it-IT"/>
              </w:rPr>
              <w:t>100,0</w:t>
            </w:r>
          </w:p>
        </w:tc>
        <w:tc>
          <w:tcPr>
            <w:tcW w:w="1984"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i/>
                <w:iCs/>
                <w:lang w:eastAsia="it-IT"/>
              </w:rPr>
            </w:pPr>
            <w:r w:rsidRPr="00652E63">
              <w:rPr>
                <w:rFonts w:eastAsia="Times New Roman" w:cs="Arial"/>
                <w:i/>
                <w:iCs/>
                <w:lang w:eastAsia="it-IT"/>
              </w:rPr>
              <w:t>100,0</w:t>
            </w:r>
          </w:p>
        </w:tc>
      </w:tr>
      <w:tr w:rsidR="006E0347" w:rsidRPr="00692767" w:rsidTr="00C27182">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F908F5" w:rsidP="00F908F5">
            <w:pPr>
              <w:rPr>
                <w:rFonts w:eastAsia="Times New Roman" w:cs="Arial"/>
                <w:bCs w:val="0"/>
                <w:color w:val="000000"/>
                <w:lang w:eastAsia="it-IT"/>
              </w:rPr>
            </w:pPr>
            <w:r w:rsidRPr="00652E63">
              <w:rPr>
                <w:rFonts w:eastAsia="Times New Roman" w:cs="Arial"/>
                <w:bCs w:val="0"/>
                <w:color w:val="000000"/>
                <w:lang w:eastAsia="it-IT"/>
              </w:rPr>
              <w:t xml:space="preserve">Uffici </w:t>
            </w:r>
          </w:p>
        </w:tc>
        <w:tc>
          <w:tcPr>
            <w:tcW w:w="1474"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 xml:space="preserve"> </w:t>
            </w:r>
          </w:p>
        </w:tc>
        <w:tc>
          <w:tcPr>
            <w:tcW w:w="1559"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 xml:space="preserve"> </w:t>
            </w:r>
          </w:p>
        </w:tc>
        <w:tc>
          <w:tcPr>
            <w:tcW w:w="1560"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 xml:space="preserve"> </w:t>
            </w:r>
          </w:p>
        </w:tc>
        <w:tc>
          <w:tcPr>
            <w:tcW w:w="1984"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 xml:space="preserve"> </w:t>
            </w:r>
          </w:p>
        </w:tc>
      </w:tr>
      <w:tr w:rsidR="00F908F5" w:rsidRPr="00692767" w:rsidTr="00C2718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F908F5" w:rsidRPr="00652E63">
              <w:rPr>
                <w:rFonts w:eastAsia="Times New Roman" w:cs="Arial"/>
                <w:b w:val="0"/>
                <w:color w:val="000000"/>
                <w:lang w:eastAsia="it-IT"/>
              </w:rPr>
              <w:t xml:space="preserve">Allungamento </w:t>
            </w:r>
          </w:p>
        </w:tc>
        <w:tc>
          <w:tcPr>
            <w:tcW w:w="1474" w:type="dxa"/>
            <w:hideMark/>
          </w:tcPr>
          <w:p w:rsidR="00F908F5" w:rsidRPr="00652E63" w:rsidRDefault="00F908F5" w:rsidP="00C4108E">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61,</w:t>
            </w:r>
            <w:r w:rsidR="00C4108E">
              <w:rPr>
                <w:rFonts w:eastAsia="Times New Roman" w:cs="Arial"/>
                <w:lang w:eastAsia="it-IT"/>
              </w:rPr>
              <w:t>2</w:t>
            </w:r>
          </w:p>
        </w:tc>
        <w:tc>
          <w:tcPr>
            <w:tcW w:w="1559"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62,4</w:t>
            </w:r>
          </w:p>
        </w:tc>
        <w:tc>
          <w:tcPr>
            <w:tcW w:w="1560"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51,4</w:t>
            </w:r>
          </w:p>
        </w:tc>
        <w:tc>
          <w:tcPr>
            <w:tcW w:w="1984"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58,0</w:t>
            </w:r>
          </w:p>
        </w:tc>
      </w:tr>
      <w:tr w:rsidR="00F908F5" w:rsidRPr="00692767" w:rsidTr="00C27182">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F908F5" w:rsidRPr="00652E63">
              <w:rPr>
                <w:rFonts w:eastAsia="Times New Roman" w:cs="Arial"/>
                <w:b w:val="0"/>
                <w:color w:val="000000"/>
                <w:lang w:eastAsia="it-IT"/>
              </w:rPr>
              <w:t xml:space="preserve">Stabilità </w:t>
            </w:r>
          </w:p>
        </w:tc>
        <w:tc>
          <w:tcPr>
            <w:tcW w:w="1474" w:type="dxa"/>
            <w:hideMark/>
          </w:tcPr>
          <w:p w:rsidR="00F908F5" w:rsidRPr="00652E63" w:rsidRDefault="00C4108E"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36,7</w:t>
            </w:r>
          </w:p>
        </w:tc>
        <w:tc>
          <w:tcPr>
            <w:tcW w:w="1559"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33,4</w:t>
            </w:r>
          </w:p>
        </w:tc>
        <w:tc>
          <w:tcPr>
            <w:tcW w:w="1560"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48,7</w:t>
            </w:r>
          </w:p>
        </w:tc>
        <w:tc>
          <w:tcPr>
            <w:tcW w:w="1984"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40,2</w:t>
            </w:r>
          </w:p>
        </w:tc>
      </w:tr>
      <w:tr w:rsidR="00F908F5" w:rsidRPr="00692767" w:rsidTr="00C2718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F908F5" w:rsidRPr="00652E63">
              <w:rPr>
                <w:rFonts w:eastAsia="Times New Roman" w:cs="Arial"/>
                <w:b w:val="0"/>
                <w:color w:val="000000"/>
                <w:lang w:eastAsia="it-IT"/>
              </w:rPr>
              <w:t xml:space="preserve">Accorciamento </w:t>
            </w:r>
          </w:p>
        </w:tc>
        <w:tc>
          <w:tcPr>
            <w:tcW w:w="1474" w:type="dxa"/>
            <w:hideMark/>
          </w:tcPr>
          <w:p w:rsidR="00F908F5" w:rsidRPr="00652E63" w:rsidRDefault="00F908F5" w:rsidP="00C4108E">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2,</w:t>
            </w:r>
            <w:r w:rsidR="00C4108E">
              <w:rPr>
                <w:rFonts w:eastAsia="Times New Roman" w:cs="Arial"/>
                <w:lang w:eastAsia="it-IT"/>
              </w:rPr>
              <w:t>1</w:t>
            </w:r>
          </w:p>
        </w:tc>
        <w:tc>
          <w:tcPr>
            <w:tcW w:w="1559"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4,2</w:t>
            </w:r>
          </w:p>
        </w:tc>
        <w:tc>
          <w:tcPr>
            <w:tcW w:w="1560" w:type="dxa"/>
            <w:hideMark/>
          </w:tcPr>
          <w:p w:rsidR="00F908F5" w:rsidRPr="00652E63" w:rsidRDefault="0060797E"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w:t>
            </w:r>
          </w:p>
        </w:tc>
        <w:tc>
          <w:tcPr>
            <w:tcW w:w="1984"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1,8</w:t>
            </w:r>
          </w:p>
        </w:tc>
      </w:tr>
      <w:tr w:rsidR="00F908F5" w:rsidRPr="00692767" w:rsidTr="00C27182">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F908F5" w:rsidRPr="00652E63">
              <w:rPr>
                <w:rFonts w:eastAsia="Times New Roman" w:cs="Arial"/>
                <w:b w:val="0"/>
                <w:color w:val="000000"/>
                <w:lang w:eastAsia="it-IT"/>
              </w:rPr>
              <w:t xml:space="preserve">Totale </w:t>
            </w:r>
          </w:p>
        </w:tc>
        <w:tc>
          <w:tcPr>
            <w:tcW w:w="1474"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i/>
                <w:iCs/>
                <w:lang w:eastAsia="it-IT"/>
              </w:rPr>
            </w:pPr>
            <w:r w:rsidRPr="00652E63">
              <w:rPr>
                <w:rFonts w:eastAsia="Times New Roman" w:cs="Arial"/>
                <w:i/>
                <w:iCs/>
                <w:lang w:eastAsia="it-IT"/>
              </w:rPr>
              <w:t>100.0</w:t>
            </w:r>
          </w:p>
        </w:tc>
        <w:tc>
          <w:tcPr>
            <w:tcW w:w="1559"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i/>
                <w:iCs/>
                <w:lang w:eastAsia="it-IT"/>
              </w:rPr>
            </w:pPr>
            <w:r w:rsidRPr="00652E63">
              <w:rPr>
                <w:rFonts w:eastAsia="Times New Roman" w:cs="Arial"/>
                <w:i/>
                <w:iCs/>
                <w:lang w:eastAsia="it-IT"/>
              </w:rPr>
              <w:t>100,0</w:t>
            </w:r>
          </w:p>
        </w:tc>
        <w:tc>
          <w:tcPr>
            <w:tcW w:w="1560"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i/>
                <w:iCs/>
                <w:lang w:eastAsia="it-IT"/>
              </w:rPr>
            </w:pPr>
            <w:r w:rsidRPr="00652E63">
              <w:rPr>
                <w:rFonts w:eastAsia="Times New Roman" w:cs="Arial"/>
                <w:i/>
                <w:iCs/>
                <w:lang w:eastAsia="it-IT"/>
              </w:rPr>
              <w:t>100.0</w:t>
            </w:r>
          </w:p>
        </w:tc>
        <w:tc>
          <w:tcPr>
            <w:tcW w:w="1984" w:type="dxa"/>
            <w:hideMark/>
          </w:tcPr>
          <w:p w:rsidR="00F908F5" w:rsidRPr="00652E63" w:rsidRDefault="00F908F5"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i/>
                <w:iCs/>
                <w:lang w:eastAsia="it-IT"/>
              </w:rPr>
            </w:pPr>
            <w:r w:rsidRPr="00652E63">
              <w:rPr>
                <w:rFonts w:eastAsia="Times New Roman" w:cs="Arial"/>
                <w:i/>
                <w:iCs/>
                <w:lang w:eastAsia="it-IT"/>
              </w:rPr>
              <w:t>100,0</w:t>
            </w:r>
          </w:p>
        </w:tc>
      </w:tr>
      <w:tr w:rsidR="006E0347" w:rsidRPr="00692767" w:rsidTr="00C2718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F908F5" w:rsidP="00F908F5">
            <w:pPr>
              <w:rPr>
                <w:rFonts w:eastAsia="Times New Roman" w:cs="Arial"/>
                <w:bCs w:val="0"/>
                <w:color w:val="000000"/>
                <w:lang w:eastAsia="it-IT"/>
              </w:rPr>
            </w:pPr>
            <w:r w:rsidRPr="00652E63">
              <w:rPr>
                <w:rFonts w:eastAsia="Times New Roman" w:cs="Arial"/>
                <w:bCs w:val="0"/>
                <w:color w:val="000000"/>
                <w:lang w:eastAsia="it-IT"/>
              </w:rPr>
              <w:t xml:space="preserve">Logistica/industriale </w:t>
            </w:r>
          </w:p>
        </w:tc>
        <w:tc>
          <w:tcPr>
            <w:tcW w:w="1474"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 xml:space="preserve"> </w:t>
            </w:r>
          </w:p>
        </w:tc>
        <w:tc>
          <w:tcPr>
            <w:tcW w:w="1559"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 xml:space="preserve"> </w:t>
            </w:r>
          </w:p>
        </w:tc>
        <w:tc>
          <w:tcPr>
            <w:tcW w:w="1560"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 xml:space="preserve"> </w:t>
            </w:r>
          </w:p>
        </w:tc>
        <w:tc>
          <w:tcPr>
            <w:tcW w:w="1984"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652E63">
              <w:rPr>
                <w:rFonts w:eastAsia="Times New Roman" w:cs="Arial"/>
                <w:lang w:eastAsia="it-IT"/>
              </w:rPr>
              <w:t xml:space="preserve"> </w:t>
            </w:r>
          </w:p>
        </w:tc>
      </w:tr>
      <w:tr w:rsidR="00F908F5" w:rsidRPr="00692767" w:rsidTr="00C27182">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F908F5" w:rsidRPr="00652E63">
              <w:rPr>
                <w:rFonts w:eastAsia="Times New Roman" w:cs="Arial"/>
                <w:b w:val="0"/>
                <w:color w:val="000000"/>
                <w:lang w:eastAsia="it-IT"/>
              </w:rPr>
              <w:t xml:space="preserve">Allungamento </w:t>
            </w:r>
          </w:p>
        </w:tc>
        <w:tc>
          <w:tcPr>
            <w:tcW w:w="1474" w:type="dxa"/>
            <w:hideMark/>
          </w:tcPr>
          <w:p w:rsidR="00F908F5" w:rsidRPr="00652E63" w:rsidRDefault="00C4108E"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63,8</w:t>
            </w:r>
          </w:p>
        </w:tc>
        <w:tc>
          <w:tcPr>
            <w:tcW w:w="1559" w:type="dxa"/>
            <w:hideMark/>
          </w:tcPr>
          <w:p w:rsidR="00F908F5" w:rsidRPr="00652E63" w:rsidRDefault="00C4108E"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60,0</w:t>
            </w:r>
          </w:p>
        </w:tc>
        <w:tc>
          <w:tcPr>
            <w:tcW w:w="1560" w:type="dxa"/>
            <w:hideMark/>
          </w:tcPr>
          <w:p w:rsidR="00F908F5" w:rsidRPr="00652E63" w:rsidRDefault="00C71541"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57,9</w:t>
            </w:r>
          </w:p>
        </w:tc>
        <w:tc>
          <w:tcPr>
            <w:tcW w:w="1984" w:type="dxa"/>
            <w:hideMark/>
          </w:tcPr>
          <w:p w:rsidR="00F908F5" w:rsidRPr="00652E63" w:rsidRDefault="00C4108E"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60,9</w:t>
            </w:r>
          </w:p>
        </w:tc>
      </w:tr>
      <w:tr w:rsidR="00F908F5" w:rsidRPr="00692767" w:rsidTr="00C2718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F908F5" w:rsidRPr="00652E63">
              <w:rPr>
                <w:rFonts w:eastAsia="Times New Roman" w:cs="Arial"/>
                <w:b w:val="0"/>
                <w:color w:val="000000"/>
                <w:lang w:eastAsia="it-IT"/>
              </w:rPr>
              <w:t xml:space="preserve">Stabilità </w:t>
            </w:r>
          </w:p>
        </w:tc>
        <w:tc>
          <w:tcPr>
            <w:tcW w:w="1474" w:type="dxa"/>
            <w:hideMark/>
          </w:tcPr>
          <w:p w:rsidR="00F908F5" w:rsidRPr="00652E63" w:rsidRDefault="00C4108E"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34,0</w:t>
            </w:r>
          </w:p>
        </w:tc>
        <w:tc>
          <w:tcPr>
            <w:tcW w:w="1559" w:type="dxa"/>
            <w:hideMark/>
          </w:tcPr>
          <w:p w:rsidR="00F908F5" w:rsidRPr="00652E63" w:rsidRDefault="00C4108E"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40,0</w:t>
            </w:r>
          </w:p>
        </w:tc>
        <w:tc>
          <w:tcPr>
            <w:tcW w:w="1560" w:type="dxa"/>
            <w:hideMark/>
          </w:tcPr>
          <w:p w:rsidR="00F908F5" w:rsidRPr="00652E63" w:rsidRDefault="00C71541"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36,8</w:t>
            </w:r>
          </w:p>
        </w:tc>
        <w:tc>
          <w:tcPr>
            <w:tcW w:w="1984" w:type="dxa"/>
            <w:hideMark/>
          </w:tcPr>
          <w:p w:rsidR="00F908F5" w:rsidRPr="00652E63" w:rsidRDefault="00C4108E"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36,2</w:t>
            </w:r>
          </w:p>
        </w:tc>
      </w:tr>
      <w:tr w:rsidR="00F908F5" w:rsidRPr="00692767" w:rsidTr="00C27182">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F908F5" w:rsidRPr="00652E63">
              <w:rPr>
                <w:rFonts w:eastAsia="Times New Roman" w:cs="Arial"/>
                <w:b w:val="0"/>
                <w:color w:val="000000"/>
                <w:lang w:eastAsia="it-IT"/>
              </w:rPr>
              <w:t xml:space="preserve">Accorciamento </w:t>
            </w:r>
          </w:p>
        </w:tc>
        <w:tc>
          <w:tcPr>
            <w:tcW w:w="1474" w:type="dxa"/>
            <w:hideMark/>
          </w:tcPr>
          <w:p w:rsidR="00F908F5" w:rsidRPr="00652E63" w:rsidRDefault="00C4108E"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2,2</w:t>
            </w:r>
          </w:p>
        </w:tc>
        <w:tc>
          <w:tcPr>
            <w:tcW w:w="1559" w:type="dxa"/>
            <w:hideMark/>
          </w:tcPr>
          <w:p w:rsidR="00F908F5" w:rsidRPr="00652E63" w:rsidRDefault="0060797E"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652E63">
              <w:rPr>
                <w:rFonts w:eastAsia="Times New Roman" w:cs="Arial"/>
                <w:lang w:eastAsia="it-IT"/>
              </w:rPr>
              <w:t>-</w:t>
            </w:r>
          </w:p>
        </w:tc>
        <w:tc>
          <w:tcPr>
            <w:tcW w:w="1560" w:type="dxa"/>
            <w:hideMark/>
          </w:tcPr>
          <w:p w:rsidR="00F908F5" w:rsidRPr="00652E63" w:rsidRDefault="00C71541" w:rsidP="00F908F5">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5,3</w:t>
            </w:r>
          </w:p>
        </w:tc>
        <w:tc>
          <w:tcPr>
            <w:tcW w:w="1984" w:type="dxa"/>
            <w:hideMark/>
          </w:tcPr>
          <w:p w:rsidR="00C4108E" w:rsidRPr="00652E63" w:rsidRDefault="00C4108E" w:rsidP="00C4108E">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2,9</w:t>
            </w:r>
          </w:p>
        </w:tc>
      </w:tr>
      <w:tr w:rsidR="00F908F5" w:rsidRPr="00692767" w:rsidTr="00C2718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85" w:type="dxa"/>
            <w:hideMark/>
          </w:tcPr>
          <w:p w:rsidR="00F908F5" w:rsidRPr="00652E63" w:rsidRDefault="00B45EE3" w:rsidP="00F908F5">
            <w:pPr>
              <w:rPr>
                <w:rFonts w:eastAsia="Times New Roman" w:cs="Arial"/>
                <w:b w:val="0"/>
                <w:color w:val="000000"/>
                <w:lang w:eastAsia="it-IT"/>
              </w:rPr>
            </w:pPr>
            <w:r>
              <w:rPr>
                <w:rFonts w:eastAsia="Times New Roman" w:cs="Arial"/>
                <w:b w:val="0"/>
                <w:color w:val="000000"/>
                <w:lang w:eastAsia="it-IT"/>
              </w:rPr>
              <w:t xml:space="preserve">   </w:t>
            </w:r>
            <w:r w:rsidR="00F908F5" w:rsidRPr="00652E63">
              <w:rPr>
                <w:rFonts w:eastAsia="Times New Roman" w:cs="Arial"/>
                <w:b w:val="0"/>
                <w:color w:val="000000"/>
                <w:lang w:eastAsia="it-IT"/>
              </w:rPr>
              <w:t xml:space="preserve">Totale </w:t>
            </w:r>
          </w:p>
        </w:tc>
        <w:tc>
          <w:tcPr>
            <w:tcW w:w="1474"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i/>
                <w:iCs/>
                <w:color w:val="000000"/>
                <w:lang w:eastAsia="it-IT"/>
              </w:rPr>
            </w:pPr>
            <w:r w:rsidRPr="00652E63">
              <w:rPr>
                <w:rFonts w:eastAsia="Times New Roman" w:cs="Arial"/>
                <w:i/>
                <w:iCs/>
                <w:color w:val="000000"/>
                <w:lang w:eastAsia="it-IT"/>
              </w:rPr>
              <w:t>100,00</w:t>
            </w:r>
          </w:p>
        </w:tc>
        <w:tc>
          <w:tcPr>
            <w:tcW w:w="1559"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i/>
                <w:iCs/>
                <w:color w:val="000000"/>
                <w:lang w:eastAsia="it-IT"/>
              </w:rPr>
            </w:pPr>
            <w:r w:rsidRPr="00652E63">
              <w:rPr>
                <w:rFonts w:eastAsia="Times New Roman" w:cs="Arial"/>
                <w:i/>
                <w:iCs/>
                <w:color w:val="000000"/>
                <w:lang w:eastAsia="it-IT"/>
              </w:rPr>
              <w:t>100,00</w:t>
            </w:r>
          </w:p>
        </w:tc>
        <w:tc>
          <w:tcPr>
            <w:tcW w:w="1560"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i/>
                <w:iCs/>
                <w:color w:val="000000"/>
                <w:lang w:eastAsia="it-IT"/>
              </w:rPr>
            </w:pPr>
            <w:r w:rsidRPr="00652E63">
              <w:rPr>
                <w:rFonts w:eastAsia="Times New Roman" w:cs="Arial"/>
                <w:i/>
                <w:iCs/>
                <w:color w:val="000000"/>
                <w:lang w:eastAsia="it-IT"/>
              </w:rPr>
              <w:t>100,00</w:t>
            </w:r>
          </w:p>
        </w:tc>
        <w:tc>
          <w:tcPr>
            <w:tcW w:w="1984" w:type="dxa"/>
            <w:hideMark/>
          </w:tcPr>
          <w:p w:rsidR="00F908F5" w:rsidRPr="00652E63" w:rsidRDefault="00F908F5" w:rsidP="00F908F5">
            <w:pPr>
              <w:jc w:val="center"/>
              <w:cnfStyle w:val="000000100000" w:firstRow="0" w:lastRow="0" w:firstColumn="0" w:lastColumn="0" w:oddVBand="0" w:evenVBand="0" w:oddHBand="1" w:evenHBand="0" w:firstRowFirstColumn="0" w:firstRowLastColumn="0" w:lastRowFirstColumn="0" w:lastRowLastColumn="0"/>
              <w:rPr>
                <w:rFonts w:eastAsia="Times New Roman" w:cs="Arial"/>
                <w:i/>
                <w:iCs/>
                <w:color w:val="000000"/>
                <w:lang w:eastAsia="it-IT"/>
              </w:rPr>
            </w:pPr>
            <w:r w:rsidRPr="00652E63">
              <w:rPr>
                <w:rFonts w:eastAsia="Times New Roman" w:cs="Arial"/>
                <w:i/>
                <w:iCs/>
                <w:color w:val="000000"/>
                <w:lang w:eastAsia="it-IT"/>
              </w:rPr>
              <w:t>100,00</w:t>
            </w:r>
          </w:p>
        </w:tc>
      </w:tr>
    </w:tbl>
    <w:p w:rsidR="0060797E" w:rsidRPr="00F258B6" w:rsidRDefault="008D04F1" w:rsidP="00BC64B8">
      <w:pPr>
        <w:pStyle w:val="StileFonte"/>
      </w:pPr>
      <w:r>
        <w:t>Fonte: indagine</w:t>
      </w:r>
      <w:r w:rsidR="0060797E" w:rsidRPr="00F258B6">
        <w:t xml:space="preserve"> RUR - Yard, 2016</w:t>
      </w:r>
    </w:p>
    <w:p w:rsidR="00652E63" w:rsidRPr="00040C42" w:rsidRDefault="00091E8D" w:rsidP="00F463C6">
      <w:pPr>
        <w:spacing w:before="120" w:after="120"/>
        <w:jc w:val="both"/>
        <w:rPr>
          <w:b/>
        </w:rPr>
      </w:pPr>
      <w:r w:rsidRPr="006530A7">
        <w:rPr>
          <w:sz w:val="24"/>
        </w:rPr>
        <w:t xml:space="preserve">Quanto alla rete dei </w:t>
      </w:r>
      <w:r w:rsidRPr="00C4108E">
        <w:rPr>
          <w:b/>
          <w:sz w:val="24"/>
        </w:rPr>
        <w:t>servizi tecnici a diretto supporto dell’immobiliare</w:t>
      </w:r>
      <w:r w:rsidRPr="006530A7">
        <w:rPr>
          <w:sz w:val="24"/>
        </w:rPr>
        <w:t xml:space="preserve">, lo scenario attuale riflette in pieno il ridimensionamento dei volumi di affari conseguente alla fase recessiva. In particolare mentre appare in sostanziale tenuta la presenza sul territorio dei network dell’intermediazione facenti capo alle reti nazionali, flettono le piccole agenzie locali e soprattutto l’intera filiera dei servizi di natura tecnica, fiscale e legale. La maggior parte degli intervistati registra una diminuzione del peso degli studi di </w:t>
      </w:r>
      <w:r w:rsidRPr="006530A7">
        <w:rPr>
          <w:sz w:val="24"/>
        </w:rPr>
        <w:lastRenderedPageBreak/>
        <w:t>ingegneri ed architetti (rappresentata in oltre il 60% delle opinioni), specie al Sud e nelle città di medio piccola dimensione; e, contestualmente, soffrono anche le prestazioni dei geometri, dei periti, dei commercialisti (56,5%). Tendenzialmente più stabile l’attività in capo agli studi notarili, con irrilevanti distinzioni nella distribuzione territoriale</w:t>
      </w:r>
      <w:r w:rsidR="000F146D">
        <w:rPr>
          <w:sz w:val="24"/>
        </w:rPr>
        <w:t xml:space="preserve"> </w:t>
      </w:r>
      <w:r w:rsidR="000F146D" w:rsidRPr="008C387B">
        <w:t>(fig. 26)</w:t>
      </w:r>
      <w:r w:rsidRPr="006530A7">
        <w:rPr>
          <w:sz w:val="24"/>
        </w:rPr>
        <w:t xml:space="preserve">. Specie per alcune di queste figure l’incremento dei fatturati molto dipenderà, oltre che da una generale ripresa del mercato, dalla crescita delle capacità professionali, individuali e di categoria, da conseguire soprattutto in termini di aggiornamento e formazione continua, fattori divenuti dirimenti per essere competitivi dovendo fronteggiare una platea di investitori e consumatori </w:t>
      </w:r>
      <w:r w:rsidR="00B21F18" w:rsidRPr="006530A7">
        <w:rPr>
          <w:sz w:val="24"/>
        </w:rPr>
        <w:t xml:space="preserve">sempre più attenta ed </w:t>
      </w:r>
      <w:r w:rsidR="00B21F18" w:rsidRPr="008C387B">
        <w:t>esigente.</w:t>
      </w:r>
    </w:p>
    <w:p w:rsidR="00B424F6" w:rsidRPr="00040C42" w:rsidRDefault="00506EE0" w:rsidP="00097AFE">
      <w:pPr>
        <w:pStyle w:val="Titolotabella"/>
      </w:pPr>
      <w:r>
        <w:t>Fig.</w:t>
      </w:r>
      <w:r w:rsidR="008B18EE" w:rsidRPr="00040C42">
        <w:t>2</w:t>
      </w:r>
      <w:r w:rsidR="001B5AE7">
        <w:t>6</w:t>
      </w:r>
      <w:r w:rsidR="008B18EE" w:rsidRPr="00040C42">
        <w:t xml:space="preserve"> </w:t>
      </w:r>
      <w:r w:rsidR="00E26D59">
        <w:t xml:space="preserve">– </w:t>
      </w:r>
      <w:r w:rsidR="00B424F6" w:rsidRPr="00040C42">
        <w:t>La contrazione dei servizi di intermediazione e professionali</w:t>
      </w:r>
      <w:r w:rsidR="00A850A7">
        <w:t xml:space="preserve"> (val.%)</w:t>
      </w:r>
    </w:p>
    <w:p w:rsidR="00D25DCD" w:rsidRDefault="00B424F6" w:rsidP="00D25DCD">
      <w:pPr>
        <w:pStyle w:val="StileFonte"/>
        <w:jc w:val="center"/>
      </w:pPr>
      <w:r w:rsidRPr="006530A7">
        <w:rPr>
          <w:b/>
          <w:noProof/>
          <w:sz w:val="32"/>
          <w:szCs w:val="32"/>
        </w:rPr>
        <w:drawing>
          <wp:inline distT="0" distB="0" distL="0" distR="0" wp14:anchorId="3A13C4D8" wp14:editId="237362F2">
            <wp:extent cx="5376672" cy="3340608"/>
            <wp:effectExtent l="0" t="0" r="14605" b="12700"/>
            <wp:docPr id="26" name="Gra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71F83" w:rsidRDefault="008D04F1" w:rsidP="00CB6DFC">
      <w:pPr>
        <w:pStyle w:val="StileFonte"/>
        <w:jc w:val="left"/>
      </w:pPr>
      <w:r>
        <w:t>Fonte: indagine</w:t>
      </w:r>
      <w:r w:rsidR="00F9344F" w:rsidRPr="00F258B6">
        <w:t xml:space="preserve"> RUR - Yard, 2016</w:t>
      </w:r>
    </w:p>
    <w:p w:rsidR="00CF4D51" w:rsidRPr="00CB6DFC" w:rsidRDefault="00CF4D51" w:rsidP="00CB6DFC">
      <w:pPr>
        <w:pStyle w:val="StileFonte"/>
        <w:jc w:val="left"/>
        <w:rPr>
          <w:b/>
          <w:sz w:val="32"/>
          <w:szCs w:val="32"/>
        </w:rPr>
      </w:pPr>
    </w:p>
    <w:p w:rsidR="00091E8D" w:rsidRPr="006530A7" w:rsidRDefault="00091E8D" w:rsidP="00822ADA">
      <w:pPr>
        <w:pStyle w:val="Titolo2"/>
        <w:numPr>
          <w:ilvl w:val="1"/>
          <w:numId w:val="16"/>
        </w:numPr>
        <w:spacing w:before="640" w:after="320"/>
        <w:ind w:left="0" w:firstLine="0"/>
        <w:rPr>
          <w:rFonts w:asciiTheme="minorHAnsi" w:hAnsiTheme="minorHAnsi"/>
          <w:color w:val="auto"/>
        </w:rPr>
      </w:pPr>
      <w:bookmarkStart w:id="15" w:name="_Toc445539598"/>
      <w:r w:rsidRPr="006530A7">
        <w:rPr>
          <w:rFonts w:asciiTheme="minorHAnsi" w:hAnsiTheme="minorHAnsi"/>
          <w:color w:val="auto"/>
        </w:rPr>
        <w:lastRenderedPageBreak/>
        <w:t>Il ruolo del credito e la fiducia degli operatori</w:t>
      </w:r>
      <w:bookmarkEnd w:id="15"/>
    </w:p>
    <w:p w:rsidR="00091E8D" w:rsidRPr="006530A7" w:rsidRDefault="00C4108E" w:rsidP="00F463C6">
      <w:pPr>
        <w:spacing w:before="120" w:after="120"/>
        <w:jc w:val="both"/>
        <w:rPr>
          <w:sz w:val="24"/>
        </w:rPr>
      </w:pPr>
      <w:r>
        <w:rPr>
          <w:sz w:val="24"/>
        </w:rPr>
        <w:t xml:space="preserve">Il </w:t>
      </w:r>
      <w:r w:rsidR="00091E8D" w:rsidRPr="006530A7">
        <w:rPr>
          <w:sz w:val="24"/>
        </w:rPr>
        <w:t>sistema bancario ha</w:t>
      </w:r>
      <w:r>
        <w:rPr>
          <w:sz w:val="24"/>
        </w:rPr>
        <w:t xml:space="preserve"> sempre</w:t>
      </w:r>
      <w:r w:rsidR="00091E8D" w:rsidRPr="006530A7">
        <w:rPr>
          <w:sz w:val="24"/>
        </w:rPr>
        <w:t xml:space="preserve"> contribuito </w:t>
      </w:r>
      <w:r w:rsidR="00CB6DFC">
        <w:rPr>
          <w:sz w:val="24"/>
        </w:rPr>
        <w:t>a</w:t>
      </w:r>
      <w:r w:rsidR="00091E8D" w:rsidRPr="006530A7">
        <w:rPr>
          <w:sz w:val="24"/>
        </w:rPr>
        <w:t xml:space="preserve"> dare sostegno alla domanda proveniente dalle imprese e dalle famiglie</w:t>
      </w:r>
      <w:r>
        <w:rPr>
          <w:sz w:val="24"/>
        </w:rPr>
        <w:t xml:space="preserve"> nel settore edilizio-immobiliare</w:t>
      </w:r>
      <w:r w:rsidR="00091E8D" w:rsidRPr="006530A7">
        <w:rPr>
          <w:sz w:val="24"/>
        </w:rPr>
        <w:t xml:space="preserve">, assecondando corposamente le esigenze di investitori, utilizzatori e consumatori. Storicamente, e in particolare nel segmento residenziale, la leva del credito </w:t>
      </w:r>
      <w:r w:rsidR="0097256B">
        <w:rPr>
          <w:sz w:val="24"/>
        </w:rPr>
        <w:t>ha costituito un</w:t>
      </w:r>
      <w:r>
        <w:rPr>
          <w:sz w:val="24"/>
        </w:rPr>
        <w:t xml:space="preserve"> fattore determinante </w:t>
      </w:r>
      <w:r w:rsidR="00091E8D" w:rsidRPr="006530A7">
        <w:rPr>
          <w:sz w:val="24"/>
        </w:rPr>
        <w:t xml:space="preserve">del boom edilizio, dell’espansione urbana, della spiccata propensione </w:t>
      </w:r>
      <w:r>
        <w:rPr>
          <w:sz w:val="24"/>
        </w:rPr>
        <w:t xml:space="preserve">sociale </w:t>
      </w:r>
      <w:r w:rsidR="00091E8D" w:rsidRPr="006530A7">
        <w:rPr>
          <w:sz w:val="24"/>
        </w:rPr>
        <w:t xml:space="preserve">alla proprietà abitativa. </w:t>
      </w:r>
    </w:p>
    <w:p w:rsidR="00091E8D" w:rsidRPr="006530A7" w:rsidRDefault="00C4108E" w:rsidP="00F463C6">
      <w:pPr>
        <w:spacing w:before="120" w:after="120"/>
        <w:jc w:val="both"/>
        <w:rPr>
          <w:sz w:val="24"/>
        </w:rPr>
      </w:pPr>
      <w:r>
        <w:rPr>
          <w:sz w:val="24"/>
        </w:rPr>
        <w:t>A</w:t>
      </w:r>
      <w:r w:rsidR="00091E8D" w:rsidRPr="006530A7">
        <w:rPr>
          <w:sz w:val="24"/>
        </w:rPr>
        <w:t xml:space="preserve"> conclusione della lunga stagione recessiva, la fase che ora si va aprendo impone una riflessione approfondita sul ruolo che il sistema del credito può continuare ad esercitare in campo immobiliare ed una rivisitazione della gamma delle azioni, degli strumenti, dei prodotti e dei servizi necessari ad affrontare le innovazioni che emergono sullo scenario. </w:t>
      </w:r>
    </w:p>
    <w:p w:rsidR="00091E8D" w:rsidRPr="006530A7" w:rsidRDefault="00091E8D" w:rsidP="00F463C6">
      <w:pPr>
        <w:spacing w:before="120" w:after="120"/>
        <w:jc w:val="both"/>
        <w:rPr>
          <w:sz w:val="24"/>
        </w:rPr>
      </w:pPr>
      <w:r w:rsidRPr="006530A7">
        <w:rPr>
          <w:sz w:val="24"/>
        </w:rPr>
        <w:t xml:space="preserve">Certamente la finanza ed il credito dovranno affinare strumenti e capacità nella corretta valutazione economica degli immobili, sviluppare criteri più stringenti nella classificazione dei diversi profili di domanda, con l’obiettivo di abbattere ulteriormente le soglie di rischio senza tralasciare alcuna opportunità di investimento. In sostanza anche per gli operatori del credito si tratta di dispiegare capacità e sensibilità innovative, prodotti e servizi evoluti a presidio del settore immobiliare se vorranno restare al passo di un mercato forse rigenerato nei numeri ma anche più attento e </w:t>
      </w:r>
      <w:r w:rsidR="00C4108E">
        <w:rPr>
          <w:sz w:val="24"/>
        </w:rPr>
        <w:t xml:space="preserve">trasparente </w:t>
      </w:r>
      <w:r w:rsidR="00C4108E" w:rsidRPr="0097256B">
        <w:rPr>
          <w:sz w:val="24"/>
        </w:rPr>
        <w:t>nelle concrete</w:t>
      </w:r>
      <w:r w:rsidR="00C4108E">
        <w:rPr>
          <w:sz w:val="24"/>
        </w:rPr>
        <w:t xml:space="preserve"> strumentazioni innovative (leasing residenziali, credito vitalizio ipotecario</w:t>
      </w:r>
      <w:r w:rsidR="0097256B">
        <w:rPr>
          <w:sz w:val="24"/>
        </w:rPr>
        <w:t>,</w:t>
      </w:r>
      <w:r w:rsidR="00C4108E">
        <w:rPr>
          <w:sz w:val="24"/>
        </w:rPr>
        <w:t xml:space="preserve"> etc.)</w:t>
      </w:r>
      <w:r w:rsidRPr="006530A7">
        <w:rPr>
          <w:sz w:val="24"/>
        </w:rPr>
        <w:t>.</w:t>
      </w:r>
    </w:p>
    <w:p w:rsidR="00091E8D" w:rsidRPr="006530A7" w:rsidRDefault="00091E8D" w:rsidP="00F463C6">
      <w:pPr>
        <w:spacing w:before="120" w:after="120"/>
        <w:jc w:val="both"/>
        <w:rPr>
          <w:sz w:val="24"/>
        </w:rPr>
      </w:pPr>
      <w:r w:rsidRPr="006530A7">
        <w:rPr>
          <w:sz w:val="24"/>
        </w:rPr>
        <w:t xml:space="preserve">Le opinioni raccolte attraverso l’indagine di campo, pur non essendo centrate su tali problematiche, offrono comunque alcuni squarci conoscitivi </w:t>
      </w:r>
      <w:r w:rsidR="002C2E6D">
        <w:rPr>
          <w:sz w:val="24"/>
        </w:rPr>
        <w:t>e</w:t>
      </w:r>
      <w:r w:rsidRPr="006530A7">
        <w:rPr>
          <w:sz w:val="24"/>
        </w:rPr>
        <w:t xml:space="preserve"> significativi spunti di riflessione. </w:t>
      </w:r>
    </w:p>
    <w:p w:rsidR="00F463C6" w:rsidRPr="00CF4D51" w:rsidRDefault="00091E8D" w:rsidP="00CF4D51">
      <w:pPr>
        <w:spacing w:before="120" w:after="120"/>
        <w:jc w:val="both"/>
        <w:rPr>
          <w:sz w:val="24"/>
        </w:rPr>
      </w:pPr>
      <w:r w:rsidRPr="006530A7">
        <w:rPr>
          <w:sz w:val="24"/>
        </w:rPr>
        <w:t>Anche se i dati confermano la percezione del peso esercitato dalle banche in campo immobiliare</w:t>
      </w:r>
      <w:r w:rsidR="00202469">
        <w:rPr>
          <w:sz w:val="24"/>
        </w:rPr>
        <w:t>,</w:t>
      </w:r>
      <w:r w:rsidRPr="006530A7">
        <w:rPr>
          <w:sz w:val="24"/>
        </w:rPr>
        <w:t xml:space="preserve"> per circa la metà degli intervistati l’interesse degli istituti di credito rimane piuttosto circoscritto all’offerta dei mutui alle famiglie. Una percezione, questa, particolarmente avvertita nel Nord del Paese. Solo poco più del 20% degli intervistati ritiene che l’immobiliare costituisca una delle branche d’interesse prioritario tanto nel finanziamento alle famiglie che nel sostegno a</w:t>
      </w:r>
      <w:r w:rsidR="00CB6DFC">
        <w:rPr>
          <w:sz w:val="24"/>
        </w:rPr>
        <w:t>lle imprese. E, all’opposto, un’</w:t>
      </w:r>
      <w:r w:rsidRPr="006530A7">
        <w:rPr>
          <w:sz w:val="24"/>
        </w:rPr>
        <w:t xml:space="preserve">ulteriore quota di poco superiore al 25% del campione, valuta che le presenza delle banche si limiti a prestazioni di carattere ordinario configurando un interesse specifico semmai di “routine”, in assenza cioè di iniziative volte a rafforzare il peso e la presenza sui </w:t>
      </w:r>
      <w:r w:rsidRPr="006530A7">
        <w:rPr>
          <w:sz w:val="24"/>
        </w:rPr>
        <w:lastRenderedPageBreak/>
        <w:t xml:space="preserve">mercati e sul territorio. Questa valutazione investe in modo preponderante le realtà </w:t>
      </w:r>
      <w:r w:rsidRPr="008C387B">
        <w:rPr>
          <w:sz w:val="24"/>
        </w:rPr>
        <w:t>meridionali (</w:t>
      </w:r>
      <w:r w:rsidR="00243AB1" w:rsidRPr="008C387B">
        <w:rPr>
          <w:sz w:val="24"/>
        </w:rPr>
        <w:t>t</w:t>
      </w:r>
      <w:r w:rsidRPr="008C387B">
        <w:rPr>
          <w:sz w:val="24"/>
        </w:rPr>
        <w:t xml:space="preserve">ab. </w:t>
      </w:r>
      <w:r w:rsidR="00C708DE" w:rsidRPr="008C387B">
        <w:rPr>
          <w:sz w:val="24"/>
        </w:rPr>
        <w:t>5</w:t>
      </w:r>
      <w:r w:rsidRPr="008C387B">
        <w:rPr>
          <w:sz w:val="24"/>
        </w:rPr>
        <w:t>).</w:t>
      </w:r>
    </w:p>
    <w:p w:rsidR="007827B3" w:rsidRPr="006530A7" w:rsidRDefault="007827B3" w:rsidP="007827B3">
      <w:pPr>
        <w:pStyle w:val="Titolotabella"/>
        <w:rPr>
          <w:sz w:val="24"/>
        </w:rPr>
      </w:pPr>
      <w:r>
        <w:rPr>
          <w:lang w:eastAsia="it-IT"/>
        </w:rPr>
        <w:t>Tab.</w:t>
      </w:r>
      <w:r w:rsidRPr="006530A7">
        <w:rPr>
          <w:lang w:eastAsia="it-IT"/>
        </w:rPr>
        <w:t xml:space="preserve">5 </w:t>
      </w:r>
      <w:r w:rsidR="00E26D59">
        <w:t xml:space="preserve">– </w:t>
      </w:r>
      <w:r w:rsidRPr="006530A7">
        <w:rPr>
          <w:lang w:eastAsia="it-IT"/>
        </w:rPr>
        <w:t>Il giudizio sull'interesse delle banche verso il settore immobiliare, per ripartizione geografica (val. %)</w:t>
      </w:r>
    </w:p>
    <w:tbl>
      <w:tblPr>
        <w:tblStyle w:val="Sfondomedio1-Colore1"/>
        <w:tblW w:w="8623" w:type="dxa"/>
        <w:tblInd w:w="-10" w:type="dxa"/>
        <w:tblLayout w:type="fixed"/>
        <w:tblLook w:val="04A0" w:firstRow="1" w:lastRow="0" w:firstColumn="1" w:lastColumn="0" w:noHBand="0" w:noVBand="1"/>
      </w:tblPr>
      <w:tblGrid>
        <w:gridCol w:w="4719"/>
        <w:gridCol w:w="727"/>
        <w:gridCol w:w="850"/>
        <w:gridCol w:w="1052"/>
        <w:gridCol w:w="1275"/>
      </w:tblGrid>
      <w:tr w:rsidR="00243AB1" w:rsidRPr="006530A7" w:rsidTr="00FA5E7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719" w:type="dxa"/>
            <w:hideMark/>
          </w:tcPr>
          <w:p w:rsidR="00DB4B2F" w:rsidRPr="007827B3" w:rsidRDefault="00DB4B2F" w:rsidP="00DB4B2F">
            <w:pPr>
              <w:rPr>
                <w:rFonts w:eastAsia="Times New Roman" w:cs="Arial"/>
                <w:color w:val="000000"/>
                <w:lang w:eastAsia="it-IT"/>
              </w:rPr>
            </w:pPr>
            <w:r w:rsidRPr="007827B3">
              <w:rPr>
                <w:rFonts w:eastAsia="Times New Roman" w:cs="Arial"/>
                <w:color w:val="000000"/>
                <w:lang w:eastAsia="it-IT"/>
              </w:rPr>
              <w:t> </w:t>
            </w:r>
          </w:p>
        </w:tc>
        <w:tc>
          <w:tcPr>
            <w:tcW w:w="727" w:type="dxa"/>
            <w:vAlign w:val="center"/>
            <w:hideMark/>
          </w:tcPr>
          <w:p w:rsidR="00DB4B2F" w:rsidRPr="00C27182" w:rsidRDefault="00DB4B2F"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Nord</w:t>
            </w:r>
          </w:p>
        </w:tc>
        <w:tc>
          <w:tcPr>
            <w:tcW w:w="850" w:type="dxa"/>
            <w:vAlign w:val="center"/>
            <w:hideMark/>
          </w:tcPr>
          <w:p w:rsidR="00DB4B2F" w:rsidRPr="00C27182" w:rsidRDefault="00DB4B2F"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Centro</w:t>
            </w:r>
          </w:p>
        </w:tc>
        <w:tc>
          <w:tcPr>
            <w:tcW w:w="1052" w:type="dxa"/>
            <w:vAlign w:val="center"/>
            <w:hideMark/>
          </w:tcPr>
          <w:p w:rsidR="00DB4B2F" w:rsidRPr="00C27182" w:rsidRDefault="004A2B65"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Pr>
                <w:rFonts w:eastAsia="Times New Roman" w:cs="Arial"/>
                <w:lang w:eastAsia="it-IT"/>
              </w:rPr>
              <w:t xml:space="preserve">Sud e </w:t>
            </w:r>
            <w:r w:rsidR="00DB4B2F" w:rsidRPr="00C27182">
              <w:rPr>
                <w:rFonts w:eastAsia="Times New Roman" w:cs="Arial"/>
                <w:lang w:eastAsia="it-IT"/>
              </w:rPr>
              <w:t>isole</w:t>
            </w:r>
          </w:p>
        </w:tc>
        <w:tc>
          <w:tcPr>
            <w:tcW w:w="1275" w:type="dxa"/>
            <w:vAlign w:val="center"/>
            <w:hideMark/>
          </w:tcPr>
          <w:p w:rsidR="00DB4B2F" w:rsidRPr="00C27182" w:rsidRDefault="00DB4B2F"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Totale</w:t>
            </w:r>
          </w:p>
        </w:tc>
      </w:tr>
      <w:tr w:rsidR="00243AB1" w:rsidRPr="006530A7" w:rsidTr="00FA5E78">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719" w:type="dxa"/>
            <w:hideMark/>
          </w:tcPr>
          <w:p w:rsidR="00DB4B2F" w:rsidRPr="007827B3" w:rsidRDefault="00DB4B2F" w:rsidP="00DB4B2F">
            <w:pPr>
              <w:rPr>
                <w:rFonts w:eastAsia="Times New Roman" w:cs="Arial"/>
                <w:b w:val="0"/>
                <w:color w:val="000000"/>
                <w:lang w:eastAsia="it-IT"/>
              </w:rPr>
            </w:pPr>
            <w:r w:rsidRPr="007827B3">
              <w:rPr>
                <w:rFonts w:eastAsia="Times New Roman" w:cs="Arial"/>
                <w:b w:val="0"/>
                <w:color w:val="000000"/>
                <w:lang w:eastAsia="it-IT"/>
              </w:rPr>
              <w:t>Assai rilevante, è un settore prioritario nel finanziamento di famiglie e imprese</w:t>
            </w:r>
          </w:p>
        </w:tc>
        <w:tc>
          <w:tcPr>
            <w:tcW w:w="727" w:type="dxa"/>
            <w:vAlign w:val="center"/>
            <w:hideMark/>
          </w:tcPr>
          <w:p w:rsidR="00DB4B2F" w:rsidRPr="007827B3" w:rsidRDefault="00DB4B2F"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7827B3">
              <w:rPr>
                <w:rFonts w:eastAsia="Times New Roman" w:cs="Arial"/>
                <w:lang w:eastAsia="it-IT"/>
              </w:rPr>
              <w:t>19,6</w:t>
            </w:r>
          </w:p>
        </w:tc>
        <w:tc>
          <w:tcPr>
            <w:tcW w:w="850" w:type="dxa"/>
            <w:vAlign w:val="center"/>
            <w:hideMark/>
          </w:tcPr>
          <w:p w:rsidR="00DB4B2F" w:rsidRPr="007827B3" w:rsidRDefault="00DB4B2F"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7827B3">
              <w:rPr>
                <w:rFonts w:eastAsia="Times New Roman" w:cs="Arial"/>
                <w:lang w:eastAsia="it-IT"/>
              </w:rPr>
              <w:t>34,8</w:t>
            </w:r>
          </w:p>
        </w:tc>
        <w:tc>
          <w:tcPr>
            <w:tcW w:w="1052" w:type="dxa"/>
            <w:vAlign w:val="center"/>
            <w:hideMark/>
          </w:tcPr>
          <w:p w:rsidR="00DB4B2F" w:rsidRPr="007827B3" w:rsidRDefault="00DB4B2F"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7827B3">
              <w:rPr>
                <w:rFonts w:eastAsia="Times New Roman" w:cs="Arial"/>
                <w:lang w:eastAsia="it-IT"/>
              </w:rPr>
              <w:t>17,5</w:t>
            </w:r>
          </w:p>
        </w:tc>
        <w:tc>
          <w:tcPr>
            <w:tcW w:w="1275" w:type="dxa"/>
            <w:noWrap/>
            <w:vAlign w:val="center"/>
            <w:hideMark/>
          </w:tcPr>
          <w:p w:rsidR="00DB4B2F" w:rsidRPr="007827B3" w:rsidRDefault="00DB4B2F"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7827B3">
              <w:rPr>
                <w:rFonts w:eastAsia="Times New Roman" w:cs="Arial"/>
                <w:lang w:eastAsia="it-IT"/>
              </w:rPr>
              <w:t>21,9</w:t>
            </w:r>
          </w:p>
        </w:tc>
      </w:tr>
      <w:tr w:rsidR="00243AB1" w:rsidRPr="006530A7" w:rsidTr="00FA5E7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719" w:type="dxa"/>
            <w:hideMark/>
          </w:tcPr>
          <w:p w:rsidR="00DB4B2F" w:rsidRPr="007827B3" w:rsidRDefault="00DB4B2F" w:rsidP="00DB4B2F">
            <w:pPr>
              <w:rPr>
                <w:rFonts w:eastAsia="Times New Roman" w:cs="Arial"/>
                <w:b w:val="0"/>
                <w:color w:val="000000"/>
                <w:lang w:eastAsia="it-IT"/>
              </w:rPr>
            </w:pPr>
            <w:r w:rsidRPr="007827B3">
              <w:rPr>
                <w:rFonts w:eastAsia="Times New Roman" w:cs="Arial"/>
                <w:b w:val="0"/>
                <w:color w:val="000000"/>
                <w:lang w:eastAsia="it-IT"/>
              </w:rPr>
              <w:t>Elevato, ma limitatamente all'offerta dei mutui casa</w:t>
            </w:r>
          </w:p>
        </w:tc>
        <w:tc>
          <w:tcPr>
            <w:tcW w:w="727" w:type="dxa"/>
            <w:vAlign w:val="center"/>
            <w:hideMark/>
          </w:tcPr>
          <w:p w:rsidR="00DB4B2F" w:rsidRPr="007827B3" w:rsidRDefault="00DB4B2F"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7827B3">
              <w:rPr>
                <w:rFonts w:eastAsia="Times New Roman" w:cs="Arial"/>
                <w:lang w:eastAsia="it-IT"/>
              </w:rPr>
              <w:t>56,9</w:t>
            </w:r>
          </w:p>
        </w:tc>
        <w:tc>
          <w:tcPr>
            <w:tcW w:w="850" w:type="dxa"/>
            <w:vAlign w:val="center"/>
            <w:hideMark/>
          </w:tcPr>
          <w:p w:rsidR="00DB4B2F" w:rsidRPr="007827B3" w:rsidRDefault="00DB4B2F"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7827B3">
              <w:rPr>
                <w:rFonts w:eastAsia="Times New Roman" w:cs="Arial"/>
                <w:lang w:eastAsia="it-IT"/>
              </w:rPr>
              <w:t>52,2</w:t>
            </w:r>
          </w:p>
        </w:tc>
        <w:tc>
          <w:tcPr>
            <w:tcW w:w="1052" w:type="dxa"/>
            <w:vAlign w:val="center"/>
            <w:hideMark/>
          </w:tcPr>
          <w:p w:rsidR="00DB4B2F" w:rsidRPr="007827B3" w:rsidRDefault="00DB4B2F"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7827B3">
              <w:rPr>
                <w:rFonts w:eastAsia="Times New Roman" w:cs="Arial"/>
                <w:lang w:eastAsia="it-IT"/>
              </w:rPr>
              <w:t>47,5</w:t>
            </w:r>
          </w:p>
        </w:tc>
        <w:tc>
          <w:tcPr>
            <w:tcW w:w="1275" w:type="dxa"/>
            <w:noWrap/>
            <w:vAlign w:val="center"/>
            <w:hideMark/>
          </w:tcPr>
          <w:p w:rsidR="00DB4B2F" w:rsidRPr="007827B3" w:rsidRDefault="00DB4B2F"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7827B3">
              <w:rPr>
                <w:rFonts w:eastAsia="Times New Roman" w:cs="Arial"/>
                <w:lang w:eastAsia="it-IT"/>
              </w:rPr>
              <w:t>52,6</w:t>
            </w:r>
          </w:p>
        </w:tc>
      </w:tr>
      <w:tr w:rsidR="00243AB1" w:rsidRPr="006530A7" w:rsidTr="00FA5E7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719" w:type="dxa"/>
            <w:hideMark/>
          </w:tcPr>
          <w:p w:rsidR="00DB4B2F" w:rsidRPr="007827B3" w:rsidRDefault="00DB4B2F" w:rsidP="00DB4B2F">
            <w:pPr>
              <w:rPr>
                <w:rFonts w:eastAsia="Times New Roman" w:cs="Arial"/>
                <w:b w:val="0"/>
                <w:color w:val="000000"/>
                <w:lang w:eastAsia="it-IT"/>
              </w:rPr>
            </w:pPr>
            <w:r w:rsidRPr="007827B3">
              <w:rPr>
                <w:rFonts w:eastAsia="Times New Roman" w:cs="Arial"/>
                <w:b w:val="0"/>
                <w:color w:val="000000"/>
                <w:lang w:eastAsia="it-IT"/>
              </w:rPr>
              <w:t>Moderato, l'immobiliare costituisce solo un impegno di routine</w:t>
            </w:r>
          </w:p>
        </w:tc>
        <w:tc>
          <w:tcPr>
            <w:tcW w:w="727" w:type="dxa"/>
            <w:vAlign w:val="center"/>
            <w:hideMark/>
          </w:tcPr>
          <w:p w:rsidR="00DB4B2F" w:rsidRPr="007827B3" w:rsidRDefault="00DB4B2F"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7827B3">
              <w:rPr>
                <w:rFonts w:eastAsia="Times New Roman" w:cs="Arial"/>
                <w:lang w:eastAsia="it-IT"/>
              </w:rPr>
              <w:t>23,5</w:t>
            </w:r>
          </w:p>
        </w:tc>
        <w:tc>
          <w:tcPr>
            <w:tcW w:w="850" w:type="dxa"/>
            <w:vAlign w:val="center"/>
            <w:hideMark/>
          </w:tcPr>
          <w:p w:rsidR="00DB4B2F" w:rsidRPr="007827B3" w:rsidRDefault="00DB4B2F"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7827B3">
              <w:rPr>
                <w:rFonts w:eastAsia="Times New Roman" w:cs="Arial"/>
                <w:lang w:eastAsia="it-IT"/>
              </w:rPr>
              <w:t>13,0</w:t>
            </w:r>
          </w:p>
        </w:tc>
        <w:tc>
          <w:tcPr>
            <w:tcW w:w="1052" w:type="dxa"/>
            <w:vAlign w:val="center"/>
            <w:hideMark/>
          </w:tcPr>
          <w:p w:rsidR="00DB4B2F" w:rsidRPr="007827B3" w:rsidRDefault="00DB4B2F"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7827B3">
              <w:rPr>
                <w:rFonts w:eastAsia="Times New Roman" w:cs="Arial"/>
                <w:lang w:eastAsia="it-IT"/>
              </w:rPr>
              <w:t>35,0</w:t>
            </w:r>
          </w:p>
        </w:tc>
        <w:tc>
          <w:tcPr>
            <w:tcW w:w="1275" w:type="dxa"/>
            <w:noWrap/>
            <w:vAlign w:val="center"/>
            <w:hideMark/>
          </w:tcPr>
          <w:p w:rsidR="00DB4B2F" w:rsidRPr="007827B3" w:rsidRDefault="00DB4B2F"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7827B3">
              <w:rPr>
                <w:rFonts w:eastAsia="Times New Roman" w:cs="Arial"/>
                <w:lang w:eastAsia="it-IT"/>
              </w:rPr>
              <w:t>25,5</w:t>
            </w:r>
          </w:p>
        </w:tc>
      </w:tr>
      <w:tr w:rsidR="00243AB1" w:rsidRPr="006530A7" w:rsidTr="00FA5E7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719" w:type="dxa"/>
            <w:hideMark/>
          </w:tcPr>
          <w:p w:rsidR="00DB4B2F" w:rsidRPr="007827B3" w:rsidRDefault="00DB4B2F" w:rsidP="00DC02F6">
            <w:pPr>
              <w:rPr>
                <w:rFonts w:eastAsia="Times New Roman" w:cs="Arial"/>
                <w:b w:val="0"/>
                <w:color w:val="000000"/>
                <w:lang w:eastAsia="it-IT"/>
              </w:rPr>
            </w:pPr>
            <w:r w:rsidRPr="007827B3">
              <w:rPr>
                <w:rFonts w:eastAsia="Times New Roman" w:cs="Arial"/>
                <w:b w:val="0"/>
                <w:color w:val="000000"/>
                <w:lang w:eastAsia="it-IT"/>
              </w:rPr>
              <w:t xml:space="preserve">Totale </w:t>
            </w:r>
          </w:p>
        </w:tc>
        <w:tc>
          <w:tcPr>
            <w:tcW w:w="727" w:type="dxa"/>
            <w:vAlign w:val="center"/>
            <w:hideMark/>
          </w:tcPr>
          <w:p w:rsidR="00DB4B2F" w:rsidRPr="007827B3" w:rsidRDefault="00DB4B2F"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i/>
                <w:iCs/>
                <w:color w:val="000000"/>
                <w:lang w:eastAsia="it-IT"/>
              </w:rPr>
            </w:pPr>
            <w:r w:rsidRPr="007827B3">
              <w:rPr>
                <w:rFonts w:eastAsia="Times New Roman" w:cs="Arial"/>
                <w:i/>
                <w:iCs/>
                <w:color w:val="000000"/>
                <w:lang w:eastAsia="it-IT"/>
              </w:rPr>
              <w:t>100,0</w:t>
            </w:r>
          </w:p>
        </w:tc>
        <w:tc>
          <w:tcPr>
            <w:tcW w:w="850" w:type="dxa"/>
            <w:vAlign w:val="center"/>
            <w:hideMark/>
          </w:tcPr>
          <w:p w:rsidR="00DB4B2F" w:rsidRPr="007827B3" w:rsidRDefault="00DB4B2F"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i/>
                <w:iCs/>
                <w:color w:val="000000"/>
                <w:lang w:eastAsia="it-IT"/>
              </w:rPr>
            </w:pPr>
            <w:r w:rsidRPr="007827B3">
              <w:rPr>
                <w:rFonts w:eastAsia="Times New Roman" w:cs="Arial"/>
                <w:i/>
                <w:iCs/>
                <w:color w:val="000000"/>
                <w:lang w:eastAsia="it-IT"/>
              </w:rPr>
              <w:t>100,0</w:t>
            </w:r>
          </w:p>
        </w:tc>
        <w:tc>
          <w:tcPr>
            <w:tcW w:w="1052" w:type="dxa"/>
            <w:vAlign w:val="center"/>
            <w:hideMark/>
          </w:tcPr>
          <w:p w:rsidR="00DB4B2F" w:rsidRPr="007827B3" w:rsidRDefault="00DB4B2F"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i/>
                <w:iCs/>
                <w:color w:val="000000"/>
                <w:lang w:eastAsia="it-IT"/>
              </w:rPr>
            </w:pPr>
            <w:r w:rsidRPr="007827B3">
              <w:rPr>
                <w:rFonts w:eastAsia="Times New Roman" w:cs="Arial"/>
                <w:i/>
                <w:iCs/>
                <w:color w:val="000000"/>
                <w:lang w:eastAsia="it-IT"/>
              </w:rPr>
              <w:t>100,0</w:t>
            </w:r>
          </w:p>
        </w:tc>
        <w:tc>
          <w:tcPr>
            <w:tcW w:w="1275" w:type="dxa"/>
            <w:vAlign w:val="center"/>
            <w:hideMark/>
          </w:tcPr>
          <w:p w:rsidR="00DB4B2F" w:rsidRPr="007827B3" w:rsidRDefault="00DB4B2F"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i/>
                <w:iCs/>
                <w:color w:val="000000"/>
                <w:lang w:eastAsia="it-IT"/>
              </w:rPr>
            </w:pPr>
            <w:r w:rsidRPr="007827B3">
              <w:rPr>
                <w:rFonts w:eastAsia="Times New Roman" w:cs="Arial"/>
                <w:i/>
                <w:iCs/>
                <w:color w:val="000000"/>
                <w:lang w:eastAsia="it-IT"/>
              </w:rPr>
              <w:t>100,0</w:t>
            </w:r>
          </w:p>
        </w:tc>
      </w:tr>
    </w:tbl>
    <w:p w:rsidR="007827B3" w:rsidRPr="007827B3" w:rsidRDefault="007827B3" w:rsidP="007827B3">
      <w:pPr>
        <w:pStyle w:val="StileFonte"/>
      </w:pPr>
      <w:r w:rsidRPr="007827B3">
        <w:t>Fonte: indagine RUR - Yard, 2016</w:t>
      </w:r>
    </w:p>
    <w:p w:rsidR="00091E8D" w:rsidRPr="006530A7" w:rsidRDefault="00091E8D" w:rsidP="00F463C6">
      <w:pPr>
        <w:spacing w:before="120" w:after="120"/>
        <w:jc w:val="both"/>
        <w:rPr>
          <w:sz w:val="24"/>
        </w:rPr>
      </w:pPr>
      <w:r w:rsidRPr="006530A7">
        <w:rPr>
          <w:sz w:val="24"/>
        </w:rPr>
        <w:t>Quanto al grado di fiducia i dati riflettono, inevitabilmente, il difficile clima che in questi ultimi mesi avvolge l’intero sistema bancario. Anche se</w:t>
      </w:r>
      <w:r w:rsidR="00C4108E">
        <w:rPr>
          <w:sz w:val="24"/>
        </w:rPr>
        <w:t xml:space="preserve"> le situazioni problematiche </w:t>
      </w:r>
      <w:r w:rsidRPr="006530A7">
        <w:rPr>
          <w:sz w:val="24"/>
        </w:rPr>
        <w:t>riguardano solo pochi ed isolati casi minori, il riflesso mediatico prodotto dalle disavventure di alcuni si riverbera fatalmente sull’immagine di tutti.</w:t>
      </w:r>
    </w:p>
    <w:p w:rsidR="00B424F6" w:rsidRDefault="00091E8D" w:rsidP="00F463C6">
      <w:pPr>
        <w:spacing w:before="120" w:after="120"/>
        <w:jc w:val="both"/>
        <w:rPr>
          <w:sz w:val="24"/>
        </w:rPr>
      </w:pPr>
      <w:r w:rsidRPr="006530A7">
        <w:rPr>
          <w:sz w:val="24"/>
        </w:rPr>
        <w:t>Le valutazioni espresse nell’inda</w:t>
      </w:r>
      <w:r w:rsidR="00C4108E">
        <w:rPr>
          <w:sz w:val="24"/>
        </w:rPr>
        <w:t>gine si inquadrano perciò in un clima che anche il sistema mediatico non aiuta a stemperare</w:t>
      </w:r>
      <w:r w:rsidRPr="006530A7">
        <w:rPr>
          <w:sz w:val="24"/>
        </w:rPr>
        <w:t xml:space="preserve">. </w:t>
      </w:r>
      <w:r w:rsidR="002736F0">
        <w:rPr>
          <w:sz w:val="24"/>
        </w:rPr>
        <w:t xml:space="preserve">Tuttavia anche presso le famiglie </w:t>
      </w:r>
      <w:r w:rsidRPr="006530A7">
        <w:rPr>
          <w:sz w:val="24"/>
        </w:rPr>
        <w:t xml:space="preserve">il giudizio di “sufficiente fiducia” coinvolge </w:t>
      </w:r>
      <w:r w:rsidR="002736F0">
        <w:rPr>
          <w:sz w:val="24"/>
        </w:rPr>
        <w:t xml:space="preserve">più della maggioranza </w:t>
      </w:r>
      <w:r w:rsidR="002736F0" w:rsidRPr="002C2E6D">
        <w:rPr>
          <w:sz w:val="24"/>
        </w:rPr>
        <w:t>(54,1%)</w:t>
      </w:r>
      <w:r w:rsidR="002C2E6D">
        <w:rPr>
          <w:sz w:val="24"/>
        </w:rPr>
        <w:t>,</w:t>
      </w:r>
      <w:r w:rsidR="002736F0">
        <w:rPr>
          <w:sz w:val="24"/>
        </w:rPr>
        <w:t xml:space="preserve"> mentre decisamente più elevato è il grado di fiducia riferito alle imprese </w:t>
      </w:r>
      <w:r w:rsidR="00B424F6" w:rsidRPr="008C387B">
        <w:rPr>
          <w:sz w:val="24"/>
        </w:rPr>
        <w:t>(tab</w:t>
      </w:r>
      <w:r w:rsidR="000F146D">
        <w:rPr>
          <w:sz w:val="24"/>
        </w:rPr>
        <w:t>. 6</w:t>
      </w:r>
      <w:r w:rsidR="00B424F6" w:rsidRPr="008C387B">
        <w:rPr>
          <w:sz w:val="24"/>
        </w:rPr>
        <w:t>)</w:t>
      </w:r>
      <w:r w:rsidR="00A709DE" w:rsidRPr="008C387B">
        <w:rPr>
          <w:sz w:val="24"/>
        </w:rPr>
        <w:t>.</w:t>
      </w:r>
    </w:p>
    <w:p w:rsidR="00543A19" w:rsidRPr="00543A19" w:rsidRDefault="00543A19" w:rsidP="00F463C6">
      <w:pPr>
        <w:spacing w:before="120" w:after="120"/>
        <w:jc w:val="both"/>
        <w:rPr>
          <w:sz w:val="24"/>
        </w:rPr>
      </w:pPr>
      <w:r w:rsidRPr="006530A7">
        <w:rPr>
          <w:sz w:val="24"/>
        </w:rPr>
        <w:t xml:space="preserve">Sul fronte degli operatori, </w:t>
      </w:r>
      <w:r>
        <w:rPr>
          <w:sz w:val="24"/>
        </w:rPr>
        <w:t>infatti</w:t>
      </w:r>
      <w:r w:rsidRPr="006530A7">
        <w:rPr>
          <w:sz w:val="24"/>
        </w:rPr>
        <w:t>, la fiducia accordata alle banche sfiora complessivamente il 70% tra i giudizi dei soggetti interpellati; un dato che testimonia una maggiore credibilità ascrivibile alla buona conoscenza delle dinamiche economiche dei territori ed alla prossimità con imprese ed operatori lì presenti, conseguenza della capillar</w:t>
      </w:r>
      <w:r>
        <w:rPr>
          <w:sz w:val="24"/>
        </w:rPr>
        <w:t>ità del tessuto bancario stesso</w:t>
      </w:r>
      <w:r w:rsidRPr="006530A7">
        <w:rPr>
          <w:sz w:val="24"/>
        </w:rPr>
        <w:t>.</w:t>
      </w:r>
    </w:p>
    <w:p w:rsidR="005A52D0" w:rsidRPr="006530A7" w:rsidRDefault="005A52D0" w:rsidP="005A52D0">
      <w:pPr>
        <w:rPr>
          <w:sz w:val="24"/>
          <w:szCs w:val="24"/>
        </w:rPr>
      </w:pPr>
      <w:r w:rsidRPr="006530A7">
        <w:rPr>
          <w:sz w:val="24"/>
          <w:szCs w:val="24"/>
        </w:rPr>
        <w:br w:type="page"/>
      </w:r>
    </w:p>
    <w:p w:rsidR="00315E47" w:rsidRPr="00A5467E" w:rsidRDefault="00A5467E" w:rsidP="00A5467E">
      <w:pPr>
        <w:pStyle w:val="Titolotabella"/>
        <w:rPr>
          <w:lang w:eastAsia="it-IT"/>
        </w:rPr>
      </w:pPr>
      <w:r>
        <w:rPr>
          <w:lang w:eastAsia="it-IT"/>
        </w:rPr>
        <w:lastRenderedPageBreak/>
        <w:t>Tab.</w:t>
      </w:r>
      <w:r w:rsidR="000F146D">
        <w:rPr>
          <w:lang w:eastAsia="it-IT"/>
        </w:rPr>
        <w:t>6</w:t>
      </w:r>
      <w:r w:rsidRPr="00F258B6">
        <w:rPr>
          <w:lang w:eastAsia="it-IT"/>
        </w:rPr>
        <w:t xml:space="preserve"> </w:t>
      </w:r>
      <w:r w:rsidR="00E26D59">
        <w:t xml:space="preserve">– </w:t>
      </w:r>
      <w:r w:rsidRPr="00F258B6">
        <w:rPr>
          <w:lang w:eastAsia="it-IT"/>
        </w:rPr>
        <w:t xml:space="preserve">Grado di fiducia verso il sistema bancario, per </w:t>
      </w:r>
      <w:r w:rsidR="00335856">
        <w:rPr>
          <w:lang w:eastAsia="it-IT"/>
        </w:rPr>
        <w:t>ripartizione</w:t>
      </w:r>
      <w:r w:rsidRPr="00F258B6">
        <w:rPr>
          <w:lang w:eastAsia="it-IT"/>
        </w:rPr>
        <w:t xml:space="preserve"> geografica (val. %)</w:t>
      </w:r>
    </w:p>
    <w:tbl>
      <w:tblPr>
        <w:tblStyle w:val="Sfondomedio1-Colore1"/>
        <w:tblW w:w="8505" w:type="dxa"/>
        <w:tblInd w:w="108" w:type="dxa"/>
        <w:tblLook w:val="04A0" w:firstRow="1" w:lastRow="0" w:firstColumn="1" w:lastColumn="0" w:noHBand="0" w:noVBand="1"/>
      </w:tblPr>
      <w:tblGrid>
        <w:gridCol w:w="2634"/>
        <w:gridCol w:w="1418"/>
        <w:gridCol w:w="1134"/>
        <w:gridCol w:w="1843"/>
        <w:gridCol w:w="1476"/>
      </w:tblGrid>
      <w:tr w:rsidR="00C27182" w:rsidRPr="00C27182" w:rsidTr="007C388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34" w:type="dxa"/>
            <w:hideMark/>
          </w:tcPr>
          <w:p w:rsidR="00243AB1" w:rsidRPr="006530A7" w:rsidRDefault="00243AB1" w:rsidP="00243AB1">
            <w:pPr>
              <w:rPr>
                <w:rFonts w:eastAsia="Times New Roman" w:cs="Arial"/>
                <w:color w:val="000000"/>
                <w:sz w:val="20"/>
                <w:szCs w:val="20"/>
                <w:lang w:eastAsia="it-IT"/>
              </w:rPr>
            </w:pPr>
            <w:r w:rsidRPr="006530A7">
              <w:rPr>
                <w:rFonts w:eastAsia="Times New Roman" w:cs="Arial"/>
                <w:color w:val="000000"/>
                <w:sz w:val="20"/>
                <w:szCs w:val="20"/>
                <w:lang w:eastAsia="it-IT"/>
              </w:rPr>
              <w:t> </w:t>
            </w:r>
          </w:p>
        </w:tc>
        <w:tc>
          <w:tcPr>
            <w:tcW w:w="1418" w:type="dxa"/>
            <w:vAlign w:val="center"/>
            <w:hideMark/>
          </w:tcPr>
          <w:p w:rsidR="00243AB1" w:rsidRPr="00C27182" w:rsidRDefault="00243AB1"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Nord</w:t>
            </w:r>
          </w:p>
        </w:tc>
        <w:tc>
          <w:tcPr>
            <w:tcW w:w="1134" w:type="dxa"/>
            <w:vAlign w:val="center"/>
            <w:hideMark/>
          </w:tcPr>
          <w:p w:rsidR="00243AB1" w:rsidRPr="00C27182" w:rsidRDefault="00243AB1"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Centro</w:t>
            </w:r>
          </w:p>
        </w:tc>
        <w:tc>
          <w:tcPr>
            <w:tcW w:w="1843" w:type="dxa"/>
            <w:vAlign w:val="center"/>
            <w:hideMark/>
          </w:tcPr>
          <w:p w:rsidR="00243AB1" w:rsidRPr="00C27182" w:rsidRDefault="00DC02F6"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 xml:space="preserve">Sud e </w:t>
            </w:r>
            <w:r w:rsidR="00243AB1" w:rsidRPr="00C27182">
              <w:rPr>
                <w:rFonts w:eastAsia="Times New Roman" w:cs="Arial"/>
                <w:lang w:eastAsia="it-IT"/>
              </w:rPr>
              <w:t>isole</w:t>
            </w:r>
          </w:p>
        </w:tc>
        <w:tc>
          <w:tcPr>
            <w:tcW w:w="1476" w:type="dxa"/>
            <w:vAlign w:val="center"/>
            <w:hideMark/>
          </w:tcPr>
          <w:p w:rsidR="00243AB1" w:rsidRPr="00C27182" w:rsidRDefault="00243AB1"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Totale Italia</w:t>
            </w:r>
          </w:p>
        </w:tc>
      </w:tr>
      <w:tr w:rsidR="00243AB1" w:rsidRPr="006530A7" w:rsidTr="007C388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34" w:type="dxa"/>
            <w:hideMark/>
          </w:tcPr>
          <w:p w:rsidR="00243AB1" w:rsidRPr="00A5467E" w:rsidRDefault="00243AB1" w:rsidP="00243AB1">
            <w:pPr>
              <w:rPr>
                <w:rFonts w:eastAsia="Times New Roman" w:cs="Arial"/>
                <w:bCs w:val="0"/>
                <w:color w:val="000000"/>
                <w:lang w:eastAsia="it-IT"/>
              </w:rPr>
            </w:pPr>
            <w:r w:rsidRPr="00A5467E">
              <w:rPr>
                <w:rFonts w:eastAsia="Times New Roman" w:cs="Arial"/>
                <w:bCs w:val="0"/>
                <w:color w:val="000000"/>
                <w:lang w:eastAsia="it-IT"/>
              </w:rPr>
              <w:t xml:space="preserve">Famiglie </w:t>
            </w:r>
          </w:p>
        </w:tc>
        <w:tc>
          <w:tcPr>
            <w:tcW w:w="1418"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it-IT"/>
              </w:rPr>
            </w:pPr>
            <w:r w:rsidRPr="00A5467E">
              <w:rPr>
                <w:rFonts w:eastAsia="Times New Roman" w:cs="Arial"/>
                <w:color w:val="000000"/>
                <w:lang w:eastAsia="it-IT"/>
              </w:rPr>
              <w:t xml:space="preserve"> </w:t>
            </w:r>
          </w:p>
        </w:tc>
        <w:tc>
          <w:tcPr>
            <w:tcW w:w="1134"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it-IT"/>
              </w:rPr>
            </w:pPr>
            <w:r w:rsidRPr="00A5467E">
              <w:rPr>
                <w:rFonts w:eastAsia="Times New Roman" w:cs="Arial"/>
                <w:color w:val="000000"/>
                <w:lang w:eastAsia="it-IT"/>
              </w:rPr>
              <w:t xml:space="preserve"> </w:t>
            </w:r>
          </w:p>
        </w:tc>
        <w:tc>
          <w:tcPr>
            <w:tcW w:w="1843"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it-IT"/>
              </w:rPr>
            </w:pPr>
            <w:r w:rsidRPr="00A5467E">
              <w:rPr>
                <w:rFonts w:eastAsia="Times New Roman" w:cs="Arial"/>
                <w:color w:val="000000"/>
                <w:lang w:eastAsia="it-IT"/>
              </w:rPr>
              <w:t xml:space="preserve"> </w:t>
            </w:r>
          </w:p>
        </w:tc>
        <w:tc>
          <w:tcPr>
            <w:tcW w:w="1476"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it-IT"/>
              </w:rPr>
            </w:pPr>
            <w:r w:rsidRPr="00A5467E">
              <w:rPr>
                <w:rFonts w:eastAsia="Times New Roman" w:cs="Arial"/>
                <w:color w:val="000000"/>
                <w:lang w:eastAsia="it-IT"/>
              </w:rPr>
              <w:t xml:space="preserve"> </w:t>
            </w:r>
          </w:p>
        </w:tc>
      </w:tr>
      <w:tr w:rsidR="00243AB1" w:rsidRPr="006530A7" w:rsidTr="007C388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4" w:type="dxa"/>
            <w:hideMark/>
          </w:tcPr>
          <w:p w:rsidR="00243AB1" w:rsidRPr="00A5467E" w:rsidRDefault="00243AB1" w:rsidP="00243AB1">
            <w:pPr>
              <w:rPr>
                <w:rFonts w:eastAsia="Times New Roman" w:cs="Arial"/>
                <w:b w:val="0"/>
                <w:color w:val="000000"/>
                <w:lang w:eastAsia="it-IT"/>
              </w:rPr>
            </w:pPr>
            <w:r w:rsidRPr="00A5467E">
              <w:rPr>
                <w:rFonts w:eastAsia="Times New Roman" w:cs="Arial"/>
                <w:b w:val="0"/>
                <w:color w:val="000000"/>
                <w:lang w:eastAsia="it-IT"/>
              </w:rPr>
              <w:t xml:space="preserve">   Molto elevato</w:t>
            </w:r>
          </w:p>
        </w:tc>
        <w:tc>
          <w:tcPr>
            <w:tcW w:w="1418"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3,8</w:t>
            </w:r>
          </w:p>
        </w:tc>
        <w:tc>
          <w:tcPr>
            <w:tcW w:w="1134" w:type="dxa"/>
            <w:hideMark/>
          </w:tcPr>
          <w:p w:rsidR="00243AB1" w:rsidRPr="00A5467E" w:rsidRDefault="00A5467E"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w:t>
            </w:r>
          </w:p>
        </w:tc>
        <w:tc>
          <w:tcPr>
            <w:tcW w:w="1843"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2,4</w:t>
            </w:r>
          </w:p>
        </w:tc>
        <w:tc>
          <w:tcPr>
            <w:tcW w:w="1476" w:type="dxa"/>
            <w:noWrap/>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2,4</w:t>
            </w:r>
          </w:p>
        </w:tc>
      </w:tr>
      <w:tr w:rsidR="00243AB1" w:rsidRPr="006530A7" w:rsidTr="007C388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34" w:type="dxa"/>
            <w:hideMark/>
          </w:tcPr>
          <w:p w:rsidR="00243AB1" w:rsidRPr="00A5467E" w:rsidRDefault="00243AB1" w:rsidP="00243AB1">
            <w:pPr>
              <w:rPr>
                <w:rFonts w:eastAsia="Times New Roman" w:cs="Arial"/>
                <w:b w:val="0"/>
                <w:color w:val="000000"/>
                <w:lang w:eastAsia="it-IT"/>
              </w:rPr>
            </w:pPr>
            <w:r w:rsidRPr="00A5467E">
              <w:rPr>
                <w:rFonts w:eastAsia="Times New Roman" w:cs="Arial"/>
                <w:b w:val="0"/>
                <w:color w:val="000000"/>
                <w:lang w:eastAsia="it-IT"/>
              </w:rPr>
              <w:t xml:space="preserve">   Sufficiente</w:t>
            </w:r>
          </w:p>
        </w:tc>
        <w:tc>
          <w:tcPr>
            <w:tcW w:w="1418"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A5467E">
              <w:rPr>
                <w:rFonts w:eastAsia="Times New Roman" w:cs="Arial"/>
                <w:lang w:eastAsia="it-IT"/>
              </w:rPr>
              <w:t>54,7</w:t>
            </w:r>
          </w:p>
        </w:tc>
        <w:tc>
          <w:tcPr>
            <w:tcW w:w="1134"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A5467E">
              <w:rPr>
                <w:rFonts w:eastAsia="Times New Roman" w:cs="Arial"/>
                <w:lang w:eastAsia="it-IT"/>
              </w:rPr>
              <w:t>53,6</w:t>
            </w:r>
          </w:p>
        </w:tc>
        <w:tc>
          <w:tcPr>
            <w:tcW w:w="1843"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A5467E">
              <w:rPr>
                <w:rFonts w:eastAsia="Times New Roman" w:cs="Arial"/>
                <w:lang w:eastAsia="it-IT"/>
              </w:rPr>
              <w:t>52,9</w:t>
            </w:r>
          </w:p>
        </w:tc>
        <w:tc>
          <w:tcPr>
            <w:tcW w:w="1476" w:type="dxa"/>
            <w:noWrap/>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A5467E">
              <w:rPr>
                <w:rFonts w:eastAsia="Times New Roman" w:cs="Arial"/>
                <w:lang w:eastAsia="it-IT"/>
              </w:rPr>
              <w:t>54,1</w:t>
            </w:r>
          </w:p>
        </w:tc>
      </w:tr>
      <w:tr w:rsidR="00243AB1" w:rsidRPr="006530A7" w:rsidTr="007C388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34" w:type="dxa"/>
            <w:hideMark/>
          </w:tcPr>
          <w:p w:rsidR="00243AB1" w:rsidRPr="00A5467E" w:rsidRDefault="00243AB1" w:rsidP="00243AB1">
            <w:pPr>
              <w:rPr>
                <w:rFonts w:eastAsia="Times New Roman" w:cs="Arial"/>
                <w:b w:val="0"/>
                <w:color w:val="000000"/>
                <w:lang w:eastAsia="it-IT"/>
              </w:rPr>
            </w:pPr>
            <w:r w:rsidRPr="00A5467E">
              <w:rPr>
                <w:rFonts w:eastAsia="Times New Roman" w:cs="Arial"/>
                <w:b w:val="0"/>
                <w:color w:val="000000"/>
                <w:lang w:eastAsia="it-IT"/>
              </w:rPr>
              <w:t xml:space="preserve">   Piuttosto scarso</w:t>
            </w:r>
          </w:p>
        </w:tc>
        <w:tc>
          <w:tcPr>
            <w:tcW w:w="1418"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41,5</w:t>
            </w:r>
          </w:p>
        </w:tc>
        <w:tc>
          <w:tcPr>
            <w:tcW w:w="1134"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46,4</w:t>
            </w:r>
          </w:p>
        </w:tc>
        <w:tc>
          <w:tcPr>
            <w:tcW w:w="1843"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44,7</w:t>
            </w:r>
          </w:p>
        </w:tc>
        <w:tc>
          <w:tcPr>
            <w:tcW w:w="1476" w:type="dxa"/>
            <w:noWrap/>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43,5</w:t>
            </w:r>
          </w:p>
        </w:tc>
      </w:tr>
      <w:tr w:rsidR="00243AB1" w:rsidRPr="006530A7" w:rsidTr="007C388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34" w:type="dxa"/>
            <w:hideMark/>
          </w:tcPr>
          <w:p w:rsidR="00243AB1" w:rsidRPr="00DC02F6" w:rsidRDefault="00315E47" w:rsidP="00243AB1">
            <w:pPr>
              <w:rPr>
                <w:rFonts w:eastAsia="Times New Roman" w:cs="Arial"/>
                <w:b w:val="0"/>
                <w:color w:val="000000"/>
                <w:lang w:eastAsia="it-IT"/>
              </w:rPr>
            </w:pPr>
            <w:r w:rsidRPr="00DC02F6">
              <w:rPr>
                <w:rFonts w:eastAsia="Times New Roman" w:cs="Arial"/>
                <w:b w:val="0"/>
                <w:color w:val="000000"/>
                <w:lang w:eastAsia="it-IT"/>
              </w:rPr>
              <w:t xml:space="preserve">   Totale</w:t>
            </w:r>
          </w:p>
        </w:tc>
        <w:tc>
          <w:tcPr>
            <w:tcW w:w="1418" w:type="dxa"/>
            <w:hideMark/>
          </w:tcPr>
          <w:p w:rsidR="00243AB1" w:rsidRPr="00DC02F6"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iCs/>
                <w:lang w:eastAsia="it-IT"/>
              </w:rPr>
            </w:pPr>
            <w:r w:rsidRPr="00DC02F6">
              <w:rPr>
                <w:rFonts w:eastAsia="Times New Roman" w:cs="Arial"/>
                <w:iCs/>
                <w:lang w:eastAsia="it-IT"/>
              </w:rPr>
              <w:t>100,0</w:t>
            </w:r>
          </w:p>
        </w:tc>
        <w:tc>
          <w:tcPr>
            <w:tcW w:w="1134" w:type="dxa"/>
            <w:hideMark/>
          </w:tcPr>
          <w:p w:rsidR="00243AB1" w:rsidRPr="00DC02F6"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iCs/>
                <w:lang w:eastAsia="it-IT"/>
              </w:rPr>
            </w:pPr>
            <w:r w:rsidRPr="00DC02F6">
              <w:rPr>
                <w:rFonts w:eastAsia="Times New Roman" w:cs="Arial"/>
                <w:iCs/>
                <w:lang w:eastAsia="it-IT"/>
              </w:rPr>
              <w:t>100,0</w:t>
            </w:r>
          </w:p>
        </w:tc>
        <w:tc>
          <w:tcPr>
            <w:tcW w:w="1843" w:type="dxa"/>
            <w:hideMark/>
          </w:tcPr>
          <w:p w:rsidR="00243AB1" w:rsidRPr="00DC02F6"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iCs/>
                <w:lang w:eastAsia="it-IT"/>
              </w:rPr>
            </w:pPr>
            <w:r w:rsidRPr="00DC02F6">
              <w:rPr>
                <w:rFonts w:eastAsia="Times New Roman" w:cs="Arial"/>
                <w:iCs/>
                <w:lang w:eastAsia="it-IT"/>
              </w:rPr>
              <w:t>100,0</w:t>
            </w:r>
          </w:p>
        </w:tc>
        <w:tc>
          <w:tcPr>
            <w:tcW w:w="1476" w:type="dxa"/>
            <w:hideMark/>
          </w:tcPr>
          <w:p w:rsidR="00243AB1" w:rsidRPr="00DC02F6"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iCs/>
                <w:lang w:eastAsia="it-IT"/>
              </w:rPr>
            </w:pPr>
            <w:r w:rsidRPr="00DC02F6">
              <w:rPr>
                <w:rFonts w:eastAsia="Times New Roman" w:cs="Arial"/>
                <w:iCs/>
                <w:lang w:eastAsia="it-IT"/>
              </w:rPr>
              <w:t>100,0</w:t>
            </w:r>
          </w:p>
        </w:tc>
      </w:tr>
      <w:tr w:rsidR="00243AB1" w:rsidRPr="006530A7" w:rsidTr="007C388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34" w:type="dxa"/>
            <w:hideMark/>
          </w:tcPr>
          <w:p w:rsidR="00243AB1" w:rsidRPr="00A5467E" w:rsidRDefault="00243AB1" w:rsidP="00243AB1">
            <w:pPr>
              <w:rPr>
                <w:rFonts w:eastAsia="Times New Roman" w:cs="Arial"/>
                <w:bCs w:val="0"/>
                <w:color w:val="000000"/>
                <w:lang w:eastAsia="it-IT"/>
              </w:rPr>
            </w:pPr>
            <w:r w:rsidRPr="00A5467E">
              <w:rPr>
                <w:rFonts w:eastAsia="Times New Roman" w:cs="Arial"/>
                <w:bCs w:val="0"/>
                <w:color w:val="000000"/>
                <w:lang w:eastAsia="it-IT"/>
              </w:rPr>
              <w:t>Operatori</w:t>
            </w:r>
          </w:p>
        </w:tc>
        <w:tc>
          <w:tcPr>
            <w:tcW w:w="1418"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 xml:space="preserve"> </w:t>
            </w:r>
          </w:p>
        </w:tc>
        <w:tc>
          <w:tcPr>
            <w:tcW w:w="1134"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 xml:space="preserve"> </w:t>
            </w:r>
          </w:p>
        </w:tc>
        <w:tc>
          <w:tcPr>
            <w:tcW w:w="1843"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 xml:space="preserve"> </w:t>
            </w:r>
          </w:p>
        </w:tc>
        <w:tc>
          <w:tcPr>
            <w:tcW w:w="1476"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 xml:space="preserve"> </w:t>
            </w:r>
          </w:p>
        </w:tc>
      </w:tr>
      <w:tr w:rsidR="00243AB1" w:rsidRPr="006530A7" w:rsidTr="007C388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34" w:type="dxa"/>
            <w:hideMark/>
          </w:tcPr>
          <w:p w:rsidR="00243AB1" w:rsidRPr="00A5467E" w:rsidRDefault="00243AB1" w:rsidP="00243AB1">
            <w:pPr>
              <w:rPr>
                <w:rFonts w:eastAsia="Times New Roman" w:cs="Arial"/>
                <w:b w:val="0"/>
                <w:color w:val="000000"/>
                <w:lang w:eastAsia="it-IT"/>
              </w:rPr>
            </w:pPr>
            <w:r w:rsidRPr="00A5467E">
              <w:rPr>
                <w:rFonts w:eastAsia="Times New Roman" w:cs="Arial"/>
                <w:b w:val="0"/>
                <w:color w:val="000000"/>
                <w:lang w:eastAsia="it-IT"/>
              </w:rPr>
              <w:t xml:space="preserve">   Molto elevato</w:t>
            </w:r>
          </w:p>
        </w:tc>
        <w:tc>
          <w:tcPr>
            <w:tcW w:w="1418" w:type="dxa"/>
            <w:hideMark/>
          </w:tcPr>
          <w:p w:rsidR="00243AB1" w:rsidRPr="00A5467E" w:rsidRDefault="002736F0"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1,9</w:t>
            </w:r>
          </w:p>
        </w:tc>
        <w:tc>
          <w:tcPr>
            <w:tcW w:w="1134"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A5467E">
              <w:rPr>
                <w:rFonts w:eastAsia="Times New Roman" w:cs="Arial"/>
                <w:lang w:eastAsia="it-IT"/>
              </w:rPr>
              <w:t>3,6</w:t>
            </w:r>
          </w:p>
        </w:tc>
        <w:tc>
          <w:tcPr>
            <w:tcW w:w="1843"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A5467E">
              <w:rPr>
                <w:rFonts w:eastAsia="Times New Roman" w:cs="Arial"/>
                <w:lang w:eastAsia="it-IT"/>
              </w:rPr>
              <w:t>2,5</w:t>
            </w:r>
          </w:p>
        </w:tc>
        <w:tc>
          <w:tcPr>
            <w:tcW w:w="1476"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A5467E">
              <w:rPr>
                <w:rFonts w:eastAsia="Times New Roman" w:cs="Arial"/>
                <w:lang w:eastAsia="it-IT"/>
              </w:rPr>
              <w:t>2,5</w:t>
            </w:r>
          </w:p>
        </w:tc>
      </w:tr>
      <w:tr w:rsidR="00243AB1" w:rsidRPr="006530A7" w:rsidTr="007C388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34" w:type="dxa"/>
            <w:hideMark/>
          </w:tcPr>
          <w:p w:rsidR="00243AB1" w:rsidRPr="00A5467E" w:rsidRDefault="00243AB1" w:rsidP="00243AB1">
            <w:pPr>
              <w:rPr>
                <w:rFonts w:eastAsia="Times New Roman" w:cs="Arial"/>
                <w:b w:val="0"/>
                <w:color w:val="000000"/>
                <w:lang w:eastAsia="it-IT"/>
              </w:rPr>
            </w:pPr>
            <w:r w:rsidRPr="00A5467E">
              <w:rPr>
                <w:rFonts w:eastAsia="Times New Roman" w:cs="Arial"/>
                <w:b w:val="0"/>
                <w:color w:val="000000"/>
                <w:lang w:eastAsia="it-IT"/>
              </w:rPr>
              <w:t xml:space="preserve">   Sufficiente</w:t>
            </w:r>
          </w:p>
        </w:tc>
        <w:tc>
          <w:tcPr>
            <w:tcW w:w="1418" w:type="dxa"/>
            <w:hideMark/>
          </w:tcPr>
          <w:p w:rsidR="00243AB1" w:rsidRPr="00A5467E" w:rsidRDefault="002736F0"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58,8</w:t>
            </w:r>
          </w:p>
        </w:tc>
        <w:tc>
          <w:tcPr>
            <w:tcW w:w="1134"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71,4</w:t>
            </w:r>
          </w:p>
        </w:tc>
        <w:tc>
          <w:tcPr>
            <w:tcW w:w="1843"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74,4</w:t>
            </w:r>
          </w:p>
        </w:tc>
        <w:tc>
          <w:tcPr>
            <w:tcW w:w="1476" w:type="dxa"/>
            <w:hideMark/>
          </w:tcPr>
          <w:p w:rsidR="00243AB1" w:rsidRPr="00A5467E"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A5467E">
              <w:rPr>
                <w:rFonts w:eastAsia="Times New Roman" w:cs="Arial"/>
                <w:lang w:eastAsia="it-IT"/>
              </w:rPr>
              <w:t>67,0</w:t>
            </w:r>
          </w:p>
        </w:tc>
      </w:tr>
      <w:tr w:rsidR="00243AB1" w:rsidRPr="006530A7" w:rsidTr="007C388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34" w:type="dxa"/>
            <w:hideMark/>
          </w:tcPr>
          <w:p w:rsidR="00243AB1" w:rsidRPr="00A5467E" w:rsidRDefault="00243AB1" w:rsidP="00243AB1">
            <w:pPr>
              <w:rPr>
                <w:rFonts w:eastAsia="Times New Roman" w:cs="Arial"/>
                <w:b w:val="0"/>
                <w:color w:val="000000"/>
                <w:lang w:eastAsia="it-IT"/>
              </w:rPr>
            </w:pPr>
            <w:r w:rsidRPr="00A5467E">
              <w:rPr>
                <w:rFonts w:eastAsia="Times New Roman" w:cs="Arial"/>
                <w:b w:val="0"/>
                <w:color w:val="000000"/>
                <w:lang w:eastAsia="it-IT"/>
              </w:rPr>
              <w:t xml:space="preserve">   Piuttosto scarso</w:t>
            </w:r>
          </w:p>
        </w:tc>
        <w:tc>
          <w:tcPr>
            <w:tcW w:w="1418" w:type="dxa"/>
            <w:hideMark/>
          </w:tcPr>
          <w:p w:rsidR="00243AB1" w:rsidRPr="00A5467E" w:rsidRDefault="002736F0"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39,2</w:t>
            </w:r>
          </w:p>
        </w:tc>
        <w:tc>
          <w:tcPr>
            <w:tcW w:w="1134"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A5467E">
              <w:rPr>
                <w:rFonts w:eastAsia="Times New Roman" w:cs="Arial"/>
                <w:lang w:eastAsia="it-IT"/>
              </w:rPr>
              <w:t>25,0</w:t>
            </w:r>
          </w:p>
        </w:tc>
        <w:tc>
          <w:tcPr>
            <w:tcW w:w="1843" w:type="dxa"/>
            <w:hideMark/>
          </w:tcPr>
          <w:p w:rsidR="00243AB1" w:rsidRPr="00A5467E" w:rsidRDefault="002736F0"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23,1</w:t>
            </w:r>
          </w:p>
        </w:tc>
        <w:tc>
          <w:tcPr>
            <w:tcW w:w="1476" w:type="dxa"/>
            <w:hideMark/>
          </w:tcPr>
          <w:p w:rsidR="00243AB1" w:rsidRPr="00A5467E" w:rsidRDefault="00243AB1" w:rsidP="00243AB1">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A5467E">
              <w:rPr>
                <w:rFonts w:eastAsia="Times New Roman" w:cs="Arial"/>
                <w:lang w:eastAsia="it-IT"/>
              </w:rPr>
              <w:t>30,5</w:t>
            </w:r>
          </w:p>
        </w:tc>
      </w:tr>
      <w:tr w:rsidR="00243AB1" w:rsidRPr="006530A7" w:rsidTr="007C388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34" w:type="dxa"/>
            <w:hideMark/>
          </w:tcPr>
          <w:p w:rsidR="00243AB1" w:rsidRPr="00DC02F6" w:rsidRDefault="00243AB1" w:rsidP="00243AB1">
            <w:pPr>
              <w:rPr>
                <w:rFonts w:eastAsia="Times New Roman" w:cs="Arial"/>
                <w:b w:val="0"/>
                <w:color w:val="000000"/>
                <w:lang w:eastAsia="it-IT"/>
              </w:rPr>
            </w:pPr>
            <w:r w:rsidRPr="00DC02F6">
              <w:rPr>
                <w:rFonts w:eastAsia="Times New Roman" w:cs="Arial"/>
                <w:b w:val="0"/>
                <w:color w:val="000000"/>
                <w:lang w:eastAsia="it-IT"/>
              </w:rPr>
              <w:t xml:space="preserve">   Totale </w:t>
            </w:r>
          </w:p>
        </w:tc>
        <w:tc>
          <w:tcPr>
            <w:tcW w:w="1418" w:type="dxa"/>
            <w:hideMark/>
          </w:tcPr>
          <w:p w:rsidR="00243AB1" w:rsidRPr="00DC02F6"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iCs/>
                <w:lang w:eastAsia="it-IT"/>
              </w:rPr>
            </w:pPr>
            <w:r w:rsidRPr="00DC02F6">
              <w:rPr>
                <w:rFonts w:eastAsia="Times New Roman" w:cs="Arial"/>
                <w:iCs/>
                <w:lang w:eastAsia="it-IT"/>
              </w:rPr>
              <w:t>100.0</w:t>
            </w:r>
          </w:p>
        </w:tc>
        <w:tc>
          <w:tcPr>
            <w:tcW w:w="1134" w:type="dxa"/>
            <w:hideMark/>
          </w:tcPr>
          <w:p w:rsidR="00243AB1" w:rsidRPr="00DC02F6"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iCs/>
                <w:lang w:eastAsia="it-IT"/>
              </w:rPr>
            </w:pPr>
            <w:r w:rsidRPr="00DC02F6">
              <w:rPr>
                <w:rFonts w:eastAsia="Times New Roman" w:cs="Arial"/>
                <w:iCs/>
                <w:lang w:eastAsia="it-IT"/>
              </w:rPr>
              <w:t>100,0</w:t>
            </w:r>
          </w:p>
        </w:tc>
        <w:tc>
          <w:tcPr>
            <w:tcW w:w="1843" w:type="dxa"/>
            <w:hideMark/>
          </w:tcPr>
          <w:p w:rsidR="00243AB1" w:rsidRPr="00DC02F6"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iCs/>
                <w:lang w:eastAsia="it-IT"/>
              </w:rPr>
            </w:pPr>
            <w:r w:rsidRPr="00DC02F6">
              <w:rPr>
                <w:rFonts w:eastAsia="Times New Roman" w:cs="Arial"/>
                <w:iCs/>
                <w:lang w:eastAsia="it-IT"/>
              </w:rPr>
              <w:t>100.0</w:t>
            </w:r>
          </w:p>
        </w:tc>
        <w:tc>
          <w:tcPr>
            <w:tcW w:w="1476" w:type="dxa"/>
            <w:hideMark/>
          </w:tcPr>
          <w:p w:rsidR="00243AB1" w:rsidRPr="00DC02F6" w:rsidRDefault="00243AB1" w:rsidP="00243AB1">
            <w:pPr>
              <w:jc w:val="center"/>
              <w:cnfStyle w:val="000000010000" w:firstRow="0" w:lastRow="0" w:firstColumn="0" w:lastColumn="0" w:oddVBand="0" w:evenVBand="0" w:oddHBand="0" w:evenHBand="1" w:firstRowFirstColumn="0" w:firstRowLastColumn="0" w:lastRowFirstColumn="0" w:lastRowLastColumn="0"/>
              <w:rPr>
                <w:rFonts w:eastAsia="Times New Roman" w:cs="Arial"/>
                <w:iCs/>
                <w:lang w:eastAsia="it-IT"/>
              </w:rPr>
            </w:pPr>
            <w:r w:rsidRPr="00DC02F6">
              <w:rPr>
                <w:rFonts w:eastAsia="Times New Roman" w:cs="Arial"/>
                <w:iCs/>
                <w:lang w:eastAsia="it-IT"/>
              </w:rPr>
              <w:t>100,0</w:t>
            </w:r>
          </w:p>
        </w:tc>
      </w:tr>
    </w:tbl>
    <w:p w:rsidR="005A52D0" w:rsidRPr="006530A7" w:rsidRDefault="00A5467E" w:rsidP="00A5467E">
      <w:pPr>
        <w:pStyle w:val="StileFonte"/>
      </w:pPr>
      <w:r>
        <w:t>Fonte: indagine</w:t>
      </w:r>
      <w:r w:rsidRPr="00F258B6">
        <w:t xml:space="preserve"> RUR - Yard, 2016</w:t>
      </w:r>
    </w:p>
    <w:p w:rsidR="00091E8D" w:rsidRPr="006530A7" w:rsidRDefault="00091E8D" w:rsidP="002701DA">
      <w:pPr>
        <w:pStyle w:val="Titolo2"/>
        <w:numPr>
          <w:ilvl w:val="1"/>
          <w:numId w:val="16"/>
        </w:numPr>
        <w:spacing w:before="640" w:after="320"/>
        <w:ind w:left="0" w:firstLine="0"/>
        <w:rPr>
          <w:rFonts w:asciiTheme="minorHAnsi" w:hAnsiTheme="minorHAnsi"/>
          <w:color w:val="auto"/>
        </w:rPr>
      </w:pPr>
      <w:bookmarkStart w:id="16" w:name="_Toc445539599"/>
      <w:r w:rsidRPr="006530A7">
        <w:rPr>
          <w:rFonts w:asciiTheme="minorHAnsi" w:hAnsiTheme="minorHAnsi"/>
          <w:color w:val="auto"/>
        </w:rPr>
        <w:t>L’andamento dei mutui e delle aste giudiziarie</w:t>
      </w:r>
      <w:bookmarkEnd w:id="16"/>
    </w:p>
    <w:p w:rsidR="00091E8D" w:rsidRDefault="00091E8D" w:rsidP="00CF4D51">
      <w:pPr>
        <w:spacing w:before="120" w:after="120"/>
        <w:jc w:val="both"/>
        <w:rPr>
          <w:sz w:val="24"/>
        </w:rPr>
      </w:pPr>
      <w:r w:rsidRPr="006530A7">
        <w:rPr>
          <w:sz w:val="24"/>
        </w:rPr>
        <w:t>Nel 2016 la ripresa del mercato, e segnatamente la crescita del numero degli scambi sul segmento residenziale si accompagnerà, nelle più ampie previsioni, ad un incremento delle richieste di mutuo, così come indicato dal 60% circa dei professionisti interp</w:t>
      </w:r>
      <w:r w:rsidR="002701DA">
        <w:rPr>
          <w:sz w:val="24"/>
        </w:rPr>
        <w:t>ellati.</w:t>
      </w:r>
      <w:r w:rsidRPr="006530A7">
        <w:rPr>
          <w:sz w:val="24"/>
        </w:rPr>
        <w:t xml:space="preserve"> Il quadro descritto dall’indagine ricalca, anche nella sua distribuzione territoriale, gli andamenti di crescita del numero di transazioni </w:t>
      </w:r>
      <w:r w:rsidR="002736F0" w:rsidRPr="002C2E6D">
        <w:rPr>
          <w:sz w:val="24"/>
        </w:rPr>
        <w:t>precedentemente evidenziate</w:t>
      </w:r>
      <w:r w:rsidRPr="006530A7">
        <w:rPr>
          <w:sz w:val="24"/>
        </w:rPr>
        <w:t>. Le richieste di mutui cresceranno in tutti i contesti urbani, semmai un po’ più al Nord (</w:t>
      </w:r>
      <w:r w:rsidR="00725D32">
        <w:rPr>
          <w:sz w:val="24"/>
        </w:rPr>
        <w:t xml:space="preserve">circa il </w:t>
      </w:r>
      <w:r w:rsidRPr="006530A7">
        <w:rPr>
          <w:sz w:val="24"/>
        </w:rPr>
        <w:t>65%) e un po’ meno al Sud (</w:t>
      </w:r>
      <w:r w:rsidR="00725D32">
        <w:rPr>
          <w:sz w:val="24"/>
        </w:rPr>
        <w:t xml:space="preserve">oltre il </w:t>
      </w:r>
      <w:r w:rsidRPr="006530A7">
        <w:rPr>
          <w:sz w:val="24"/>
        </w:rPr>
        <w:t xml:space="preserve">52%), ma andamenti in contrazione potranno riguardare al più pochi e </w:t>
      </w:r>
      <w:r w:rsidRPr="008C387B">
        <w:rPr>
          <w:sz w:val="24"/>
        </w:rPr>
        <w:t>marginali casi (</w:t>
      </w:r>
      <w:r w:rsidR="00E11C7C" w:rsidRPr="008C387B">
        <w:rPr>
          <w:sz w:val="24"/>
        </w:rPr>
        <w:t>t</w:t>
      </w:r>
      <w:r w:rsidR="00C31F96">
        <w:rPr>
          <w:sz w:val="24"/>
        </w:rPr>
        <w:t>ab.</w:t>
      </w:r>
      <w:r w:rsidR="000F146D">
        <w:rPr>
          <w:sz w:val="24"/>
        </w:rPr>
        <w:t>7</w:t>
      </w:r>
      <w:r w:rsidRPr="008C387B">
        <w:rPr>
          <w:sz w:val="24"/>
        </w:rPr>
        <w:t>).</w:t>
      </w:r>
    </w:p>
    <w:p w:rsidR="002701DA" w:rsidRPr="00F258B6" w:rsidRDefault="009D055A" w:rsidP="002701DA">
      <w:pPr>
        <w:pStyle w:val="Titolotabella"/>
        <w:rPr>
          <w:lang w:eastAsia="it-IT"/>
        </w:rPr>
      </w:pPr>
      <w:r>
        <w:rPr>
          <w:lang w:eastAsia="it-IT"/>
        </w:rPr>
        <w:t>Tab.</w:t>
      </w:r>
      <w:r w:rsidR="000F146D">
        <w:rPr>
          <w:lang w:eastAsia="it-IT"/>
        </w:rPr>
        <w:t>7</w:t>
      </w:r>
      <w:r w:rsidR="002701DA" w:rsidRPr="00F258B6">
        <w:rPr>
          <w:lang w:eastAsia="it-IT"/>
        </w:rPr>
        <w:t xml:space="preserve"> </w:t>
      </w:r>
      <w:r w:rsidR="00E26D59">
        <w:t xml:space="preserve">– </w:t>
      </w:r>
      <w:r w:rsidR="002701DA" w:rsidRPr="00F258B6">
        <w:rPr>
          <w:lang w:eastAsia="it-IT"/>
        </w:rPr>
        <w:t>Previsioni sull'andamento delle richieste dei mutui nel 2016, per ripartizione geografica (val. %)</w:t>
      </w:r>
    </w:p>
    <w:tbl>
      <w:tblPr>
        <w:tblStyle w:val="Sfondomedio1-Colore1"/>
        <w:tblW w:w="8613" w:type="dxa"/>
        <w:tblLook w:val="04A0" w:firstRow="1" w:lastRow="0" w:firstColumn="1" w:lastColumn="0" w:noHBand="0" w:noVBand="1"/>
      </w:tblPr>
      <w:tblGrid>
        <w:gridCol w:w="3506"/>
        <w:gridCol w:w="835"/>
        <w:gridCol w:w="1296"/>
        <w:gridCol w:w="1275"/>
        <w:gridCol w:w="1701"/>
      </w:tblGrid>
      <w:tr w:rsidR="002701DA" w:rsidRPr="006530A7" w:rsidTr="007C388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06" w:type="dxa"/>
            <w:hideMark/>
          </w:tcPr>
          <w:p w:rsidR="002701DA" w:rsidRPr="00905994" w:rsidRDefault="002701DA" w:rsidP="00B169C9">
            <w:pPr>
              <w:jc w:val="center"/>
              <w:rPr>
                <w:rFonts w:eastAsia="Times New Roman" w:cs="Arial"/>
                <w:color w:val="000000"/>
                <w:lang w:eastAsia="it-IT"/>
              </w:rPr>
            </w:pPr>
          </w:p>
        </w:tc>
        <w:tc>
          <w:tcPr>
            <w:tcW w:w="835" w:type="dxa"/>
            <w:hideMark/>
          </w:tcPr>
          <w:p w:rsidR="002701DA" w:rsidRPr="00C27182" w:rsidRDefault="002701DA"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Nord</w:t>
            </w:r>
          </w:p>
        </w:tc>
        <w:tc>
          <w:tcPr>
            <w:tcW w:w="1296" w:type="dxa"/>
            <w:hideMark/>
          </w:tcPr>
          <w:p w:rsidR="002701DA" w:rsidRPr="00C27182" w:rsidRDefault="002701DA"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Centro</w:t>
            </w:r>
          </w:p>
        </w:tc>
        <w:tc>
          <w:tcPr>
            <w:tcW w:w="1275" w:type="dxa"/>
            <w:hideMark/>
          </w:tcPr>
          <w:p w:rsidR="002701DA" w:rsidRPr="00C27182" w:rsidRDefault="002701DA"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Sud e isole</w:t>
            </w:r>
          </w:p>
        </w:tc>
        <w:tc>
          <w:tcPr>
            <w:tcW w:w="1701" w:type="dxa"/>
            <w:hideMark/>
          </w:tcPr>
          <w:p w:rsidR="002701DA" w:rsidRPr="00C27182" w:rsidRDefault="002701DA" w:rsidP="00C27182">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27182">
              <w:rPr>
                <w:rFonts w:eastAsia="Times New Roman" w:cs="Arial"/>
                <w:lang w:eastAsia="it-IT"/>
              </w:rPr>
              <w:t>Totale</w:t>
            </w:r>
          </w:p>
        </w:tc>
      </w:tr>
      <w:tr w:rsidR="002701DA" w:rsidRPr="006530A7" w:rsidTr="007C388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06" w:type="dxa"/>
            <w:hideMark/>
          </w:tcPr>
          <w:p w:rsidR="002701DA" w:rsidRPr="00905994" w:rsidRDefault="002701DA" w:rsidP="00B169C9">
            <w:pPr>
              <w:rPr>
                <w:rFonts w:eastAsia="Times New Roman" w:cs="Arial"/>
                <w:b w:val="0"/>
                <w:color w:val="000000"/>
                <w:lang w:eastAsia="it-IT"/>
              </w:rPr>
            </w:pPr>
            <w:r w:rsidRPr="00905994">
              <w:rPr>
                <w:rFonts w:eastAsia="Times New Roman" w:cs="Arial"/>
                <w:b w:val="0"/>
                <w:color w:val="000000"/>
                <w:lang w:eastAsia="it-IT"/>
              </w:rPr>
              <w:t>In aumento</w:t>
            </w:r>
          </w:p>
        </w:tc>
        <w:tc>
          <w:tcPr>
            <w:tcW w:w="835" w:type="dxa"/>
            <w:hideMark/>
          </w:tcPr>
          <w:p w:rsidR="002701DA" w:rsidRPr="00905994" w:rsidRDefault="002701DA"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905994">
              <w:rPr>
                <w:rFonts w:eastAsia="Times New Roman" w:cs="Arial"/>
                <w:lang w:eastAsia="it-IT"/>
              </w:rPr>
              <w:t>64,8</w:t>
            </w:r>
          </w:p>
        </w:tc>
        <w:tc>
          <w:tcPr>
            <w:tcW w:w="1296" w:type="dxa"/>
            <w:hideMark/>
          </w:tcPr>
          <w:p w:rsidR="002701DA" w:rsidRPr="00905994" w:rsidRDefault="002701DA"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905994">
              <w:rPr>
                <w:rFonts w:eastAsia="Times New Roman" w:cs="Arial"/>
                <w:lang w:eastAsia="it-IT"/>
              </w:rPr>
              <w:t>60,7</w:t>
            </w:r>
          </w:p>
        </w:tc>
        <w:tc>
          <w:tcPr>
            <w:tcW w:w="1275" w:type="dxa"/>
            <w:hideMark/>
          </w:tcPr>
          <w:p w:rsidR="002701DA" w:rsidRPr="00905994" w:rsidRDefault="002701DA"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905994">
              <w:rPr>
                <w:rFonts w:eastAsia="Times New Roman" w:cs="Arial"/>
                <w:lang w:eastAsia="it-IT"/>
              </w:rPr>
              <w:t>52,3</w:t>
            </w:r>
          </w:p>
        </w:tc>
        <w:tc>
          <w:tcPr>
            <w:tcW w:w="1701" w:type="dxa"/>
            <w:noWrap/>
            <w:hideMark/>
          </w:tcPr>
          <w:p w:rsidR="002701DA" w:rsidRPr="00905994" w:rsidRDefault="002701DA"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905994">
              <w:rPr>
                <w:rFonts w:eastAsia="Times New Roman" w:cs="Arial"/>
                <w:lang w:eastAsia="it-IT"/>
              </w:rPr>
              <w:t>59,7</w:t>
            </w:r>
          </w:p>
        </w:tc>
      </w:tr>
      <w:tr w:rsidR="002701DA" w:rsidRPr="006530A7" w:rsidTr="007C3888">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06" w:type="dxa"/>
            <w:hideMark/>
          </w:tcPr>
          <w:p w:rsidR="002701DA" w:rsidRPr="00905994" w:rsidRDefault="002701DA" w:rsidP="00B169C9">
            <w:pPr>
              <w:rPr>
                <w:rFonts w:eastAsia="Times New Roman" w:cs="Arial"/>
                <w:b w:val="0"/>
                <w:color w:val="000000"/>
                <w:lang w:eastAsia="it-IT"/>
              </w:rPr>
            </w:pPr>
            <w:r w:rsidRPr="00905994">
              <w:rPr>
                <w:rFonts w:eastAsia="Times New Roman" w:cs="Arial"/>
                <w:b w:val="0"/>
                <w:color w:val="000000"/>
                <w:lang w:eastAsia="it-IT"/>
              </w:rPr>
              <w:t>In fase di stabilità</w:t>
            </w:r>
          </w:p>
        </w:tc>
        <w:tc>
          <w:tcPr>
            <w:tcW w:w="835" w:type="dxa"/>
            <w:hideMark/>
          </w:tcPr>
          <w:p w:rsidR="002701DA" w:rsidRPr="00905994" w:rsidRDefault="002701DA"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905994">
              <w:rPr>
                <w:rFonts w:eastAsia="Times New Roman" w:cs="Arial"/>
                <w:lang w:eastAsia="it-IT"/>
              </w:rPr>
              <w:t>31,5</w:t>
            </w:r>
          </w:p>
        </w:tc>
        <w:tc>
          <w:tcPr>
            <w:tcW w:w="1296" w:type="dxa"/>
            <w:hideMark/>
          </w:tcPr>
          <w:p w:rsidR="002701DA" w:rsidRPr="00905994" w:rsidRDefault="002701DA"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905994">
              <w:rPr>
                <w:rFonts w:eastAsia="Times New Roman" w:cs="Arial"/>
                <w:lang w:eastAsia="it-IT"/>
              </w:rPr>
              <w:t>39,3</w:t>
            </w:r>
          </w:p>
        </w:tc>
        <w:tc>
          <w:tcPr>
            <w:tcW w:w="1275" w:type="dxa"/>
            <w:hideMark/>
          </w:tcPr>
          <w:p w:rsidR="002701DA" w:rsidRPr="00905994" w:rsidRDefault="002701DA"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905994">
              <w:rPr>
                <w:rFonts w:eastAsia="Times New Roman" w:cs="Arial"/>
                <w:lang w:eastAsia="it-IT"/>
              </w:rPr>
              <w:t>38,1</w:t>
            </w:r>
          </w:p>
        </w:tc>
        <w:tc>
          <w:tcPr>
            <w:tcW w:w="1701" w:type="dxa"/>
            <w:noWrap/>
            <w:hideMark/>
          </w:tcPr>
          <w:p w:rsidR="002701DA" w:rsidRPr="00905994" w:rsidRDefault="002701DA"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sidRPr="00905994">
              <w:rPr>
                <w:rFonts w:eastAsia="Times New Roman" w:cs="Arial"/>
                <w:lang w:eastAsia="it-IT"/>
              </w:rPr>
              <w:t>35,5</w:t>
            </w:r>
          </w:p>
        </w:tc>
      </w:tr>
      <w:tr w:rsidR="002701DA" w:rsidRPr="006530A7" w:rsidTr="007C388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06" w:type="dxa"/>
            <w:hideMark/>
          </w:tcPr>
          <w:p w:rsidR="002701DA" w:rsidRPr="00905994" w:rsidRDefault="002701DA" w:rsidP="00B169C9">
            <w:pPr>
              <w:rPr>
                <w:rFonts w:eastAsia="Times New Roman" w:cs="Arial"/>
                <w:b w:val="0"/>
                <w:color w:val="000000"/>
                <w:lang w:eastAsia="it-IT"/>
              </w:rPr>
            </w:pPr>
            <w:r w:rsidRPr="00905994">
              <w:rPr>
                <w:rFonts w:eastAsia="Times New Roman" w:cs="Arial"/>
                <w:b w:val="0"/>
                <w:color w:val="000000"/>
                <w:lang w:eastAsia="it-IT"/>
              </w:rPr>
              <w:t>In contrazione</w:t>
            </w:r>
          </w:p>
        </w:tc>
        <w:tc>
          <w:tcPr>
            <w:tcW w:w="835" w:type="dxa"/>
            <w:hideMark/>
          </w:tcPr>
          <w:p w:rsidR="002701DA" w:rsidRPr="00905994" w:rsidRDefault="002701DA"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905994">
              <w:rPr>
                <w:rFonts w:eastAsia="Times New Roman" w:cs="Arial"/>
                <w:lang w:eastAsia="it-IT"/>
              </w:rPr>
              <w:t>3,7</w:t>
            </w:r>
          </w:p>
        </w:tc>
        <w:tc>
          <w:tcPr>
            <w:tcW w:w="1296" w:type="dxa"/>
            <w:hideMark/>
          </w:tcPr>
          <w:p w:rsidR="002701DA" w:rsidRPr="00905994" w:rsidRDefault="006E1F97"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w:t>
            </w:r>
          </w:p>
        </w:tc>
        <w:tc>
          <w:tcPr>
            <w:tcW w:w="1275" w:type="dxa"/>
            <w:hideMark/>
          </w:tcPr>
          <w:p w:rsidR="002701DA" w:rsidRPr="00905994" w:rsidRDefault="002701DA"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905994">
              <w:rPr>
                <w:rFonts w:eastAsia="Times New Roman" w:cs="Arial"/>
                <w:lang w:eastAsia="it-IT"/>
              </w:rPr>
              <w:t>9,6</w:t>
            </w:r>
          </w:p>
        </w:tc>
        <w:tc>
          <w:tcPr>
            <w:tcW w:w="1701" w:type="dxa"/>
            <w:noWrap/>
            <w:hideMark/>
          </w:tcPr>
          <w:p w:rsidR="002701DA" w:rsidRPr="00905994" w:rsidRDefault="002701DA" w:rsidP="00C27182">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sidRPr="00905994">
              <w:rPr>
                <w:rFonts w:eastAsia="Times New Roman" w:cs="Arial"/>
                <w:lang w:eastAsia="it-IT"/>
              </w:rPr>
              <w:t>4,8</w:t>
            </w:r>
          </w:p>
        </w:tc>
      </w:tr>
      <w:tr w:rsidR="002701DA" w:rsidRPr="006530A7" w:rsidTr="007C3888">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506" w:type="dxa"/>
            <w:hideMark/>
          </w:tcPr>
          <w:p w:rsidR="002701DA" w:rsidRPr="00DC02F6" w:rsidRDefault="002701DA" w:rsidP="00B169C9">
            <w:pPr>
              <w:rPr>
                <w:rFonts w:eastAsia="Times New Roman" w:cs="Arial"/>
                <w:b w:val="0"/>
                <w:color w:val="000000"/>
                <w:lang w:eastAsia="it-IT"/>
              </w:rPr>
            </w:pPr>
            <w:r w:rsidRPr="00DC02F6">
              <w:rPr>
                <w:rFonts w:eastAsia="Times New Roman" w:cs="Arial"/>
                <w:b w:val="0"/>
                <w:color w:val="000000"/>
                <w:lang w:eastAsia="it-IT"/>
              </w:rPr>
              <w:t xml:space="preserve">Totale </w:t>
            </w:r>
          </w:p>
        </w:tc>
        <w:tc>
          <w:tcPr>
            <w:tcW w:w="835" w:type="dxa"/>
            <w:hideMark/>
          </w:tcPr>
          <w:p w:rsidR="002701DA" w:rsidRPr="00DC02F6" w:rsidRDefault="002701DA"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iCs/>
                <w:color w:val="000000"/>
                <w:lang w:eastAsia="it-IT"/>
              </w:rPr>
            </w:pPr>
            <w:r w:rsidRPr="00DC02F6">
              <w:rPr>
                <w:rFonts w:eastAsia="Times New Roman" w:cs="Arial"/>
                <w:iCs/>
                <w:color w:val="000000"/>
                <w:lang w:eastAsia="it-IT"/>
              </w:rPr>
              <w:t>100,0</w:t>
            </w:r>
          </w:p>
        </w:tc>
        <w:tc>
          <w:tcPr>
            <w:tcW w:w="1296" w:type="dxa"/>
            <w:hideMark/>
          </w:tcPr>
          <w:p w:rsidR="002701DA" w:rsidRPr="00DC02F6" w:rsidRDefault="002701DA"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iCs/>
                <w:color w:val="000000"/>
                <w:lang w:eastAsia="it-IT"/>
              </w:rPr>
            </w:pPr>
            <w:r w:rsidRPr="00DC02F6">
              <w:rPr>
                <w:rFonts w:eastAsia="Times New Roman" w:cs="Arial"/>
                <w:iCs/>
                <w:color w:val="000000"/>
                <w:lang w:eastAsia="it-IT"/>
              </w:rPr>
              <w:t>100,0</w:t>
            </w:r>
          </w:p>
        </w:tc>
        <w:tc>
          <w:tcPr>
            <w:tcW w:w="1275" w:type="dxa"/>
            <w:hideMark/>
          </w:tcPr>
          <w:p w:rsidR="002701DA" w:rsidRPr="00DC02F6" w:rsidRDefault="002701DA"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iCs/>
                <w:color w:val="000000"/>
                <w:lang w:eastAsia="it-IT"/>
              </w:rPr>
            </w:pPr>
            <w:r w:rsidRPr="00DC02F6">
              <w:rPr>
                <w:rFonts w:eastAsia="Times New Roman" w:cs="Arial"/>
                <w:iCs/>
                <w:color w:val="000000"/>
                <w:lang w:eastAsia="it-IT"/>
              </w:rPr>
              <w:t>100,0</w:t>
            </w:r>
          </w:p>
        </w:tc>
        <w:tc>
          <w:tcPr>
            <w:tcW w:w="1701" w:type="dxa"/>
            <w:hideMark/>
          </w:tcPr>
          <w:p w:rsidR="002701DA" w:rsidRPr="00DC02F6" w:rsidRDefault="002701DA" w:rsidP="00C27182">
            <w:pPr>
              <w:jc w:val="center"/>
              <w:cnfStyle w:val="000000010000" w:firstRow="0" w:lastRow="0" w:firstColumn="0" w:lastColumn="0" w:oddVBand="0" w:evenVBand="0" w:oddHBand="0" w:evenHBand="1" w:firstRowFirstColumn="0" w:firstRowLastColumn="0" w:lastRowFirstColumn="0" w:lastRowLastColumn="0"/>
              <w:rPr>
                <w:rFonts w:eastAsia="Times New Roman" w:cs="Arial"/>
                <w:iCs/>
                <w:color w:val="000000"/>
                <w:lang w:eastAsia="it-IT"/>
              </w:rPr>
            </w:pPr>
            <w:r w:rsidRPr="00DC02F6">
              <w:rPr>
                <w:rFonts w:eastAsia="Times New Roman" w:cs="Arial"/>
                <w:iCs/>
                <w:color w:val="000000"/>
                <w:lang w:eastAsia="it-IT"/>
              </w:rPr>
              <w:t>100,0</w:t>
            </w:r>
          </w:p>
        </w:tc>
      </w:tr>
    </w:tbl>
    <w:p w:rsidR="002701DA" w:rsidRPr="002701DA" w:rsidRDefault="002701DA" w:rsidP="002701DA">
      <w:pPr>
        <w:pStyle w:val="StileFonte"/>
      </w:pPr>
      <w:r>
        <w:t>Fonte: indagine RUR - Yard, 2016</w:t>
      </w:r>
    </w:p>
    <w:p w:rsidR="002736F0" w:rsidRDefault="00091E8D" w:rsidP="00CF4D51">
      <w:pPr>
        <w:spacing w:before="120" w:after="120"/>
        <w:jc w:val="both"/>
        <w:rPr>
          <w:sz w:val="24"/>
        </w:rPr>
      </w:pPr>
      <w:r w:rsidRPr="006530A7">
        <w:rPr>
          <w:sz w:val="24"/>
        </w:rPr>
        <w:lastRenderedPageBreak/>
        <w:t xml:space="preserve">Si tratta di previsioni che </w:t>
      </w:r>
      <w:r w:rsidR="00202469">
        <w:rPr>
          <w:sz w:val="24"/>
        </w:rPr>
        <w:t>assecondano la fase di recupero</w:t>
      </w:r>
      <w:r w:rsidRPr="006530A7">
        <w:rPr>
          <w:sz w:val="24"/>
        </w:rPr>
        <w:t xml:space="preserve"> in corso: i dati ufficiali, infatti, indicano che la stretta del credito si è allentata già nel 2014 per le famiglie. I nuovi mutui concessi per l’acquisto di una abitazione, pari a circa 50 miliardi di €, nel 2015 si sono raddoppiati rispetto all’anno precedente ed anche se per un terzo di questi si è trattato di surroghe, e dunque di sostituzioni di vecchi contratti con nuovi più convenienti, ed appare in calo l’importo medio erogato, appena inferiore a 120.000 €, la stretta appare superata. </w:t>
      </w:r>
    </w:p>
    <w:p w:rsidR="002736F0" w:rsidRPr="006530A7" w:rsidRDefault="002736F0" w:rsidP="00CF4D51">
      <w:pPr>
        <w:spacing w:before="120" w:after="120"/>
        <w:jc w:val="both"/>
        <w:rPr>
          <w:sz w:val="24"/>
        </w:rPr>
      </w:pPr>
      <w:r w:rsidRPr="006530A7">
        <w:rPr>
          <w:sz w:val="24"/>
        </w:rPr>
        <w:t xml:space="preserve">Ancor più promettente si annuncia il mercato correlato alle aste giudiziarie per il quale si prefigura l’avvio di una stagione di assoluto rilancio, così come attestato anche dall’opinione del 75% del campione </w:t>
      </w:r>
      <w:r w:rsidRPr="008C387B">
        <w:rPr>
          <w:sz w:val="24"/>
        </w:rPr>
        <w:t>consultato (figg. 27-28</w:t>
      </w:r>
      <w:r w:rsidR="00CF5664">
        <w:rPr>
          <w:sz w:val="24"/>
        </w:rPr>
        <w:t xml:space="preserve"> e tab. 8</w:t>
      </w:r>
      <w:r w:rsidRPr="008C387B">
        <w:rPr>
          <w:sz w:val="24"/>
        </w:rPr>
        <w:t>).</w:t>
      </w:r>
    </w:p>
    <w:p w:rsidR="00D172D1" w:rsidRPr="00FF18F7" w:rsidRDefault="00AC6546" w:rsidP="00097AFE">
      <w:pPr>
        <w:pStyle w:val="Titolotabella"/>
      </w:pPr>
      <w:r w:rsidRPr="00FF18F7">
        <w:t>Fig.</w:t>
      </w:r>
      <w:r w:rsidR="006E3DBC" w:rsidRPr="00FF18F7">
        <w:t>2</w:t>
      </w:r>
      <w:r w:rsidR="001B5AE7">
        <w:t>7</w:t>
      </w:r>
      <w:r w:rsidR="006E3DBC" w:rsidRPr="00FF18F7">
        <w:t xml:space="preserve"> </w:t>
      </w:r>
      <w:r w:rsidR="00E26D59">
        <w:t xml:space="preserve">– </w:t>
      </w:r>
      <w:r w:rsidR="00D172D1" w:rsidRPr="00FF18F7">
        <w:t>Previsione sull’andamento delle aste giudiziarie nel 2016</w:t>
      </w:r>
      <w:r w:rsidR="00DA0340" w:rsidRPr="00FF18F7">
        <w:t xml:space="preserve"> (val.%)</w:t>
      </w:r>
    </w:p>
    <w:p w:rsidR="00D25DCD" w:rsidRDefault="00D172D1" w:rsidP="00D25DCD">
      <w:pPr>
        <w:pStyle w:val="StileFonte"/>
        <w:jc w:val="center"/>
      </w:pPr>
      <w:r w:rsidRPr="006530A7">
        <w:rPr>
          <w:b/>
          <w:noProof/>
          <w:sz w:val="32"/>
          <w:szCs w:val="32"/>
        </w:rPr>
        <w:drawing>
          <wp:inline distT="0" distB="0" distL="0" distR="0" wp14:anchorId="1CA7948A" wp14:editId="63FA3591">
            <wp:extent cx="5400675" cy="2628900"/>
            <wp:effectExtent l="0" t="0" r="9525" b="19050"/>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736F0" w:rsidRPr="00543A19" w:rsidRDefault="008D04F1" w:rsidP="00543A19">
      <w:pPr>
        <w:pStyle w:val="StileFonte"/>
        <w:jc w:val="left"/>
        <w:rPr>
          <w:b/>
          <w:sz w:val="32"/>
          <w:szCs w:val="32"/>
        </w:rPr>
      </w:pPr>
      <w:r>
        <w:t>Fonte: indagine</w:t>
      </w:r>
      <w:r w:rsidR="00290631" w:rsidRPr="00FF18F7">
        <w:t xml:space="preserve"> RUR - Yard, 2016</w:t>
      </w:r>
    </w:p>
    <w:p w:rsidR="000A20E0" w:rsidRPr="00BC64B8" w:rsidRDefault="000A20E0" w:rsidP="000A20E0">
      <w:pPr>
        <w:pStyle w:val="Titolotabella"/>
        <w:rPr>
          <w:b w:val="0"/>
          <w:sz w:val="32"/>
          <w:szCs w:val="32"/>
        </w:rPr>
      </w:pPr>
      <w:r>
        <w:t>Tab.8</w:t>
      </w:r>
      <w:r w:rsidRPr="00FF18F7">
        <w:t xml:space="preserve"> </w:t>
      </w:r>
      <w:r>
        <w:t xml:space="preserve">– </w:t>
      </w:r>
      <w:r w:rsidRPr="00FF18F7">
        <w:t xml:space="preserve">Previsioni sull'andamento delle </w:t>
      </w:r>
      <w:r>
        <w:t>aste giudiziarie nel</w:t>
      </w:r>
      <w:r w:rsidRPr="00FF18F7">
        <w:t xml:space="preserve"> 2016</w:t>
      </w:r>
      <w:r>
        <w:t xml:space="preserve">, per </w:t>
      </w:r>
      <w:r w:rsidRPr="00FF18F7">
        <w:t>r</w:t>
      </w:r>
      <w:r>
        <w:t>i</w:t>
      </w:r>
      <w:r w:rsidRPr="00FF18F7">
        <w:t>partizione geografica (val. %)</w:t>
      </w:r>
    </w:p>
    <w:tbl>
      <w:tblPr>
        <w:tblStyle w:val="Sfondomedio1-Colore1"/>
        <w:tblW w:w="8613" w:type="dxa"/>
        <w:tblLook w:val="04A0" w:firstRow="1" w:lastRow="0" w:firstColumn="1" w:lastColumn="0" w:noHBand="0" w:noVBand="1"/>
      </w:tblPr>
      <w:tblGrid>
        <w:gridCol w:w="3119"/>
        <w:gridCol w:w="1134"/>
        <w:gridCol w:w="1242"/>
        <w:gridCol w:w="1417"/>
        <w:gridCol w:w="1701"/>
      </w:tblGrid>
      <w:tr w:rsidR="000A20E0" w:rsidRPr="006530A7" w:rsidTr="00EB28F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hideMark/>
          </w:tcPr>
          <w:p w:rsidR="000A20E0" w:rsidRPr="00DC02F6" w:rsidRDefault="000A20E0" w:rsidP="00EB28F7">
            <w:pPr>
              <w:jc w:val="center"/>
              <w:rPr>
                <w:rFonts w:eastAsia="Times New Roman" w:cs="Arial"/>
                <w:color w:val="000000"/>
                <w:lang w:eastAsia="it-IT"/>
              </w:rPr>
            </w:pPr>
          </w:p>
        </w:tc>
        <w:tc>
          <w:tcPr>
            <w:tcW w:w="1134" w:type="dxa"/>
            <w:vAlign w:val="center"/>
            <w:hideMark/>
          </w:tcPr>
          <w:p w:rsidR="000A20E0" w:rsidRPr="00CD5F83" w:rsidRDefault="000A20E0" w:rsidP="00EB28F7">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D5F83">
              <w:rPr>
                <w:rFonts w:eastAsia="Times New Roman" w:cs="Arial"/>
                <w:lang w:eastAsia="it-IT"/>
              </w:rPr>
              <w:t>Nord</w:t>
            </w:r>
          </w:p>
        </w:tc>
        <w:tc>
          <w:tcPr>
            <w:tcW w:w="1242" w:type="dxa"/>
            <w:vAlign w:val="center"/>
            <w:hideMark/>
          </w:tcPr>
          <w:p w:rsidR="000A20E0" w:rsidRPr="00CD5F83" w:rsidRDefault="000A20E0" w:rsidP="00EB28F7">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D5F83">
              <w:rPr>
                <w:rFonts w:eastAsia="Times New Roman" w:cs="Arial"/>
                <w:lang w:eastAsia="it-IT"/>
              </w:rPr>
              <w:t>Centro</w:t>
            </w:r>
          </w:p>
        </w:tc>
        <w:tc>
          <w:tcPr>
            <w:tcW w:w="1417" w:type="dxa"/>
            <w:vAlign w:val="center"/>
            <w:hideMark/>
          </w:tcPr>
          <w:p w:rsidR="000A20E0" w:rsidRPr="00CD5F83" w:rsidRDefault="000A20E0" w:rsidP="00EB28F7">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D5F83">
              <w:rPr>
                <w:rFonts w:eastAsia="Times New Roman" w:cs="Arial"/>
                <w:lang w:eastAsia="it-IT"/>
              </w:rPr>
              <w:t>Sud e isole</w:t>
            </w:r>
          </w:p>
        </w:tc>
        <w:tc>
          <w:tcPr>
            <w:tcW w:w="1701" w:type="dxa"/>
            <w:vAlign w:val="center"/>
            <w:hideMark/>
          </w:tcPr>
          <w:p w:rsidR="000A20E0" w:rsidRPr="00CD5F83" w:rsidRDefault="000A20E0" w:rsidP="00EB28F7">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eastAsia="it-IT"/>
              </w:rPr>
            </w:pPr>
            <w:r w:rsidRPr="00CD5F83">
              <w:rPr>
                <w:rFonts w:eastAsia="Times New Roman" w:cs="Arial"/>
                <w:lang w:eastAsia="it-IT"/>
              </w:rPr>
              <w:t>Totale</w:t>
            </w:r>
          </w:p>
        </w:tc>
      </w:tr>
      <w:tr w:rsidR="000A20E0" w:rsidRPr="006530A7" w:rsidTr="00EB28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rsidR="000A20E0" w:rsidRPr="00DC02F6" w:rsidRDefault="000A20E0" w:rsidP="00EB28F7">
            <w:pPr>
              <w:rPr>
                <w:rFonts w:eastAsia="Times New Roman" w:cs="Arial"/>
                <w:b w:val="0"/>
                <w:color w:val="000000"/>
                <w:lang w:eastAsia="it-IT"/>
              </w:rPr>
            </w:pPr>
            <w:r>
              <w:rPr>
                <w:rFonts w:eastAsia="Times New Roman" w:cs="Arial"/>
                <w:b w:val="0"/>
                <w:color w:val="000000"/>
                <w:lang w:eastAsia="it-IT"/>
              </w:rPr>
              <w:t>In crescita</w:t>
            </w:r>
          </w:p>
        </w:tc>
        <w:tc>
          <w:tcPr>
            <w:tcW w:w="1134" w:type="dxa"/>
            <w:vAlign w:val="center"/>
            <w:hideMark/>
          </w:tcPr>
          <w:p w:rsidR="000A20E0" w:rsidRPr="00DC02F6" w:rsidRDefault="000A20E0" w:rsidP="00EB28F7">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75,9</w:t>
            </w:r>
          </w:p>
        </w:tc>
        <w:tc>
          <w:tcPr>
            <w:tcW w:w="1242" w:type="dxa"/>
            <w:vAlign w:val="center"/>
            <w:hideMark/>
          </w:tcPr>
          <w:p w:rsidR="000A20E0" w:rsidRPr="00DC02F6" w:rsidRDefault="000A20E0" w:rsidP="00EB28F7">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75,0</w:t>
            </w:r>
          </w:p>
        </w:tc>
        <w:tc>
          <w:tcPr>
            <w:tcW w:w="1417" w:type="dxa"/>
            <w:vAlign w:val="center"/>
            <w:hideMark/>
          </w:tcPr>
          <w:p w:rsidR="000A20E0" w:rsidRPr="00DC02F6" w:rsidRDefault="000A20E0" w:rsidP="00EB28F7">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73,8</w:t>
            </w:r>
          </w:p>
        </w:tc>
        <w:tc>
          <w:tcPr>
            <w:tcW w:w="1701" w:type="dxa"/>
            <w:noWrap/>
            <w:vAlign w:val="center"/>
            <w:hideMark/>
          </w:tcPr>
          <w:p w:rsidR="000A20E0" w:rsidRPr="00DC02F6" w:rsidRDefault="000A20E0" w:rsidP="00EB28F7">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75,0</w:t>
            </w:r>
          </w:p>
        </w:tc>
      </w:tr>
      <w:tr w:rsidR="000A20E0" w:rsidRPr="006530A7" w:rsidTr="00EB28F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rsidR="000A20E0" w:rsidRPr="00DC02F6" w:rsidRDefault="000A20E0" w:rsidP="00EB28F7">
            <w:pPr>
              <w:rPr>
                <w:rFonts w:eastAsia="Times New Roman" w:cs="Arial"/>
                <w:b w:val="0"/>
                <w:color w:val="000000"/>
                <w:lang w:eastAsia="it-IT"/>
              </w:rPr>
            </w:pPr>
            <w:r>
              <w:rPr>
                <w:rFonts w:eastAsia="Times New Roman" w:cs="Arial"/>
                <w:b w:val="0"/>
                <w:color w:val="000000"/>
                <w:lang w:eastAsia="it-IT"/>
              </w:rPr>
              <w:t>Stabili</w:t>
            </w:r>
          </w:p>
        </w:tc>
        <w:tc>
          <w:tcPr>
            <w:tcW w:w="1134" w:type="dxa"/>
            <w:vAlign w:val="center"/>
            <w:hideMark/>
          </w:tcPr>
          <w:p w:rsidR="000A20E0" w:rsidRPr="00DC02F6" w:rsidRDefault="000A20E0" w:rsidP="00EB28F7">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7,4</w:t>
            </w:r>
          </w:p>
        </w:tc>
        <w:tc>
          <w:tcPr>
            <w:tcW w:w="1242" w:type="dxa"/>
            <w:vAlign w:val="center"/>
            <w:hideMark/>
          </w:tcPr>
          <w:p w:rsidR="000A20E0" w:rsidRPr="00DC02F6" w:rsidRDefault="000A20E0" w:rsidP="00EB28F7">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21,4</w:t>
            </w:r>
          </w:p>
        </w:tc>
        <w:tc>
          <w:tcPr>
            <w:tcW w:w="1417" w:type="dxa"/>
            <w:vAlign w:val="center"/>
            <w:hideMark/>
          </w:tcPr>
          <w:p w:rsidR="000A20E0" w:rsidRPr="00DC02F6" w:rsidRDefault="000A20E0" w:rsidP="00EB28F7">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14,3</w:t>
            </w:r>
          </w:p>
        </w:tc>
        <w:tc>
          <w:tcPr>
            <w:tcW w:w="1701" w:type="dxa"/>
            <w:noWrap/>
            <w:vAlign w:val="center"/>
            <w:hideMark/>
          </w:tcPr>
          <w:p w:rsidR="000A20E0" w:rsidRPr="00DC02F6" w:rsidRDefault="000A20E0" w:rsidP="00EB28F7">
            <w:pPr>
              <w:jc w:val="center"/>
              <w:cnfStyle w:val="000000010000" w:firstRow="0" w:lastRow="0" w:firstColumn="0" w:lastColumn="0" w:oddVBand="0" w:evenVBand="0" w:oddHBand="0" w:evenHBand="1" w:firstRowFirstColumn="0" w:firstRowLastColumn="0" w:lastRowFirstColumn="0" w:lastRowLastColumn="0"/>
              <w:rPr>
                <w:rFonts w:eastAsia="Times New Roman" w:cs="Arial"/>
                <w:lang w:eastAsia="it-IT"/>
              </w:rPr>
            </w:pPr>
            <w:r>
              <w:rPr>
                <w:rFonts w:eastAsia="Times New Roman" w:cs="Arial"/>
                <w:lang w:eastAsia="it-IT"/>
              </w:rPr>
              <w:t>12,9</w:t>
            </w:r>
          </w:p>
        </w:tc>
      </w:tr>
      <w:tr w:rsidR="000A20E0" w:rsidRPr="006530A7" w:rsidTr="00EB28F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rsidR="000A20E0" w:rsidRPr="00DC02F6" w:rsidRDefault="000A20E0" w:rsidP="00EB28F7">
            <w:pPr>
              <w:rPr>
                <w:rFonts w:eastAsia="Times New Roman" w:cs="Arial"/>
                <w:b w:val="0"/>
                <w:color w:val="000000"/>
                <w:lang w:eastAsia="it-IT"/>
              </w:rPr>
            </w:pPr>
            <w:r>
              <w:rPr>
                <w:rFonts w:eastAsia="Times New Roman" w:cs="Arial"/>
                <w:b w:val="0"/>
                <w:color w:val="000000"/>
                <w:lang w:eastAsia="it-IT"/>
              </w:rPr>
              <w:t>In diminuzione</w:t>
            </w:r>
          </w:p>
        </w:tc>
        <w:tc>
          <w:tcPr>
            <w:tcW w:w="1134" w:type="dxa"/>
            <w:vAlign w:val="center"/>
            <w:hideMark/>
          </w:tcPr>
          <w:p w:rsidR="000A20E0" w:rsidRPr="00DC02F6" w:rsidRDefault="000A20E0" w:rsidP="00EB28F7">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16,7</w:t>
            </w:r>
          </w:p>
        </w:tc>
        <w:tc>
          <w:tcPr>
            <w:tcW w:w="1242" w:type="dxa"/>
            <w:vAlign w:val="center"/>
            <w:hideMark/>
          </w:tcPr>
          <w:p w:rsidR="000A20E0" w:rsidRPr="00DC02F6" w:rsidRDefault="000A20E0" w:rsidP="00EB28F7">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3,6</w:t>
            </w:r>
          </w:p>
        </w:tc>
        <w:tc>
          <w:tcPr>
            <w:tcW w:w="1417" w:type="dxa"/>
            <w:vAlign w:val="center"/>
            <w:hideMark/>
          </w:tcPr>
          <w:p w:rsidR="000A20E0" w:rsidRPr="00DC02F6" w:rsidRDefault="000A20E0" w:rsidP="00EB28F7">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11,9</w:t>
            </w:r>
          </w:p>
        </w:tc>
        <w:tc>
          <w:tcPr>
            <w:tcW w:w="1701" w:type="dxa"/>
            <w:noWrap/>
            <w:vAlign w:val="center"/>
            <w:hideMark/>
          </w:tcPr>
          <w:p w:rsidR="000A20E0" w:rsidRPr="00DC02F6" w:rsidRDefault="000A20E0" w:rsidP="00EB28F7">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eastAsia="it-IT"/>
              </w:rPr>
            </w:pPr>
            <w:r>
              <w:rPr>
                <w:rFonts w:eastAsia="Times New Roman" w:cs="Arial"/>
                <w:lang w:eastAsia="it-IT"/>
              </w:rPr>
              <w:t>12,1</w:t>
            </w:r>
          </w:p>
        </w:tc>
      </w:tr>
      <w:tr w:rsidR="000A20E0" w:rsidRPr="006530A7" w:rsidTr="00EB28F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rsidR="000A20E0" w:rsidRPr="00DC02F6" w:rsidRDefault="000A20E0" w:rsidP="00EB28F7">
            <w:pPr>
              <w:rPr>
                <w:rFonts w:eastAsia="Times New Roman" w:cs="Arial"/>
                <w:b w:val="0"/>
                <w:color w:val="000000"/>
                <w:lang w:eastAsia="it-IT"/>
              </w:rPr>
            </w:pPr>
            <w:r w:rsidRPr="00DC02F6">
              <w:rPr>
                <w:rFonts w:eastAsia="Times New Roman" w:cs="Arial"/>
                <w:b w:val="0"/>
                <w:color w:val="000000"/>
                <w:lang w:eastAsia="it-IT"/>
              </w:rPr>
              <w:t>Totale</w:t>
            </w:r>
          </w:p>
        </w:tc>
        <w:tc>
          <w:tcPr>
            <w:tcW w:w="1134" w:type="dxa"/>
            <w:vAlign w:val="center"/>
            <w:hideMark/>
          </w:tcPr>
          <w:p w:rsidR="000A20E0" w:rsidRPr="00DC02F6" w:rsidRDefault="000A20E0" w:rsidP="00EB28F7">
            <w:pPr>
              <w:jc w:val="center"/>
              <w:cnfStyle w:val="000000010000" w:firstRow="0" w:lastRow="0" w:firstColumn="0" w:lastColumn="0" w:oddVBand="0" w:evenVBand="0" w:oddHBand="0" w:evenHBand="1" w:firstRowFirstColumn="0" w:firstRowLastColumn="0" w:lastRowFirstColumn="0" w:lastRowLastColumn="0"/>
              <w:rPr>
                <w:rFonts w:eastAsia="Times New Roman" w:cs="Arial"/>
                <w:iCs/>
                <w:color w:val="000000"/>
                <w:lang w:eastAsia="it-IT"/>
              </w:rPr>
            </w:pPr>
            <w:r w:rsidRPr="00DC02F6">
              <w:rPr>
                <w:rFonts w:eastAsia="Times New Roman" w:cs="Arial"/>
                <w:iCs/>
                <w:color w:val="000000"/>
                <w:lang w:eastAsia="it-IT"/>
              </w:rPr>
              <w:t>100,0</w:t>
            </w:r>
          </w:p>
        </w:tc>
        <w:tc>
          <w:tcPr>
            <w:tcW w:w="1242" w:type="dxa"/>
            <w:vAlign w:val="center"/>
            <w:hideMark/>
          </w:tcPr>
          <w:p w:rsidR="000A20E0" w:rsidRPr="00DC02F6" w:rsidRDefault="000A20E0" w:rsidP="00EB28F7">
            <w:pPr>
              <w:jc w:val="center"/>
              <w:cnfStyle w:val="000000010000" w:firstRow="0" w:lastRow="0" w:firstColumn="0" w:lastColumn="0" w:oddVBand="0" w:evenVBand="0" w:oddHBand="0" w:evenHBand="1" w:firstRowFirstColumn="0" w:firstRowLastColumn="0" w:lastRowFirstColumn="0" w:lastRowLastColumn="0"/>
              <w:rPr>
                <w:rFonts w:eastAsia="Times New Roman" w:cs="Arial"/>
                <w:iCs/>
                <w:color w:val="000000"/>
                <w:lang w:eastAsia="it-IT"/>
              </w:rPr>
            </w:pPr>
            <w:r w:rsidRPr="00DC02F6">
              <w:rPr>
                <w:rFonts w:eastAsia="Times New Roman" w:cs="Arial"/>
                <w:iCs/>
                <w:color w:val="000000"/>
                <w:lang w:eastAsia="it-IT"/>
              </w:rPr>
              <w:t>100,0</w:t>
            </w:r>
          </w:p>
        </w:tc>
        <w:tc>
          <w:tcPr>
            <w:tcW w:w="1417" w:type="dxa"/>
            <w:vAlign w:val="center"/>
            <w:hideMark/>
          </w:tcPr>
          <w:p w:rsidR="000A20E0" w:rsidRPr="00DC02F6" w:rsidRDefault="000A20E0" w:rsidP="00EB28F7">
            <w:pPr>
              <w:jc w:val="center"/>
              <w:cnfStyle w:val="000000010000" w:firstRow="0" w:lastRow="0" w:firstColumn="0" w:lastColumn="0" w:oddVBand="0" w:evenVBand="0" w:oddHBand="0" w:evenHBand="1" w:firstRowFirstColumn="0" w:firstRowLastColumn="0" w:lastRowFirstColumn="0" w:lastRowLastColumn="0"/>
              <w:rPr>
                <w:rFonts w:eastAsia="Times New Roman" w:cs="Arial"/>
                <w:iCs/>
                <w:color w:val="000000"/>
                <w:lang w:eastAsia="it-IT"/>
              </w:rPr>
            </w:pPr>
            <w:r w:rsidRPr="00DC02F6">
              <w:rPr>
                <w:rFonts w:eastAsia="Times New Roman" w:cs="Arial"/>
                <w:iCs/>
                <w:color w:val="000000"/>
                <w:lang w:eastAsia="it-IT"/>
              </w:rPr>
              <w:t>100,0</w:t>
            </w:r>
          </w:p>
        </w:tc>
        <w:tc>
          <w:tcPr>
            <w:tcW w:w="1701" w:type="dxa"/>
            <w:vAlign w:val="center"/>
            <w:hideMark/>
          </w:tcPr>
          <w:p w:rsidR="000A20E0" w:rsidRPr="00DC02F6" w:rsidRDefault="000A20E0" w:rsidP="00EB28F7">
            <w:pPr>
              <w:jc w:val="center"/>
              <w:cnfStyle w:val="000000010000" w:firstRow="0" w:lastRow="0" w:firstColumn="0" w:lastColumn="0" w:oddVBand="0" w:evenVBand="0" w:oddHBand="0" w:evenHBand="1" w:firstRowFirstColumn="0" w:firstRowLastColumn="0" w:lastRowFirstColumn="0" w:lastRowLastColumn="0"/>
              <w:rPr>
                <w:rFonts w:eastAsia="Times New Roman" w:cs="Arial"/>
                <w:iCs/>
                <w:color w:val="000000"/>
                <w:lang w:eastAsia="it-IT"/>
              </w:rPr>
            </w:pPr>
            <w:r w:rsidRPr="00DC02F6">
              <w:rPr>
                <w:rFonts w:eastAsia="Times New Roman" w:cs="Arial"/>
                <w:iCs/>
                <w:color w:val="000000"/>
                <w:lang w:eastAsia="it-IT"/>
              </w:rPr>
              <w:t>100,0</w:t>
            </w:r>
          </w:p>
        </w:tc>
      </w:tr>
    </w:tbl>
    <w:p w:rsidR="00B56BBB" w:rsidRDefault="000A20E0" w:rsidP="000A20E0">
      <w:pPr>
        <w:pStyle w:val="StileFonte"/>
      </w:pPr>
      <w:r>
        <w:t>Fonte: indagine</w:t>
      </w:r>
      <w:r w:rsidRPr="00FF18F7">
        <w:t xml:space="preserve"> RUR - Yard, 2016</w:t>
      </w:r>
    </w:p>
    <w:p w:rsidR="00AC6546" w:rsidRPr="00FF18F7" w:rsidRDefault="00AC6546" w:rsidP="00097AFE">
      <w:pPr>
        <w:pStyle w:val="Titolotabella"/>
      </w:pPr>
      <w:r w:rsidRPr="00FF18F7">
        <w:lastRenderedPageBreak/>
        <w:t>Fig.</w:t>
      </w:r>
      <w:r w:rsidR="006E3DBC" w:rsidRPr="00FF18F7">
        <w:t>2</w:t>
      </w:r>
      <w:r w:rsidR="001B5AE7">
        <w:t>8</w:t>
      </w:r>
      <w:r w:rsidRPr="00FF18F7">
        <w:t xml:space="preserve"> – Previsioni sull’andamento </w:t>
      </w:r>
      <w:r w:rsidR="001917EA">
        <w:t xml:space="preserve">delle aste giudiziarie nel 2016, </w:t>
      </w:r>
      <w:r w:rsidRPr="00FF18F7">
        <w:t>per tipologia urbana</w:t>
      </w:r>
      <w:r w:rsidR="006E3DBC" w:rsidRPr="00FF18F7">
        <w:t xml:space="preserve"> (val.%)</w:t>
      </w:r>
    </w:p>
    <w:p w:rsidR="00D25DCD" w:rsidRDefault="00D172D1" w:rsidP="00D25DCD">
      <w:pPr>
        <w:pStyle w:val="StileFonte"/>
        <w:jc w:val="center"/>
      </w:pPr>
      <w:r w:rsidRPr="006530A7">
        <w:rPr>
          <w:b/>
          <w:noProof/>
          <w:sz w:val="32"/>
          <w:szCs w:val="32"/>
        </w:rPr>
        <w:drawing>
          <wp:inline distT="0" distB="0" distL="0" distR="0" wp14:anchorId="10E5E7CD" wp14:editId="5EFA5B11">
            <wp:extent cx="5400675" cy="2257425"/>
            <wp:effectExtent l="0" t="0" r="9525" b="9525"/>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C02F6" w:rsidRDefault="008D04F1" w:rsidP="002701DA">
      <w:pPr>
        <w:pStyle w:val="StileFonte"/>
        <w:jc w:val="left"/>
      </w:pPr>
      <w:r>
        <w:t>Fonte: indagine</w:t>
      </w:r>
      <w:r w:rsidR="00290631" w:rsidRPr="00FF18F7">
        <w:t xml:space="preserve"> RUR - Yard, 2016</w:t>
      </w:r>
    </w:p>
    <w:p w:rsidR="00091E8D" w:rsidRPr="006530A7" w:rsidRDefault="00091E8D" w:rsidP="00CF4D51">
      <w:pPr>
        <w:spacing w:before="120" w:after="120"/>
        <w:jc w:val="both"/>
        <w:rPr>
          <w:sz w:val="24"/>
        </w:rPr>
      </w:pPr>
      <w:r w:rsidRPr="002C2E6D">
        <w:rPr>
          <w:sz w:val="24"/>
        </w:rPr>
        <w:t xml:space="preserve">Il ricorso alle aste giudiziarie si va intensificando già da qualche anno a seguito del peso crescente dei fattori stessi che lo generano, riconducibili alla crescita delle sofferenze bancarie legate ad immobili dati in garanzia per prestiti e mutui </w:t>
      </w:r>
      <w:r w:rsidR="002736F0" w:rsidRPr="002C2E6D">
        <w:rPr>
          <w:sz w:val="24"/>
        </w:rPr>
        <w:t xml:space="preserve">a famiglie e soprattutto a imprese e </w:t>
      </w:r>
      <w:r w:rsidR="002C2E6D" w:rsidRPr="002C2E6D">
        <w:rPr>
          <w:sz w:val="24"/>
        </w:rPr>
        <w:t>sviluppatori.</w:t>
      </w:r>
    </w:p>
    <w:p w:rsidR="00091E8D" w:rsidRPr="006530A7" w:rsidRDefault="00091E8D" w:rsidP="00CF4D51">
      <w:pPr>
        <w:spacing w:before="120" w:after="120"/>
        <w:jc w:val="both"/>
        <w:rPr>
          <w:sz w:val="24"/>
        </w:rPr>
      </w:pPr>
      <w:r w:rsidRPr="006530A7">
        <w:rPr>
          <w:sz w:val="24"/>
        </w:rPr>
        <w:t xml:space="preserve">Ma già i recenti andamenti segnalano come questa modalità di acquisto vada via via affermandosi: nel corso del 2014 si sono tenute in tutto quasi 80.000 aste giudiziarie – il 65% delle quali rivolte ad immobili di tipo residenziale - contro le circa 50.000 del 2011, con un incremento dunque che sfiora il 60%. </w:t>
      </w:r>
    </w:p>
    <w:p w:rsidR="00091E8D" w:rsidRPr="006530A7" w:rsidRDefault="00091E8D" w:rsidP="00CF4D51">
      <w:pPr>
        <w:spacing w:before="120" w:after="120"/>
        <w:jc w:val="both"/>
        <w:rPr>
          <w:sz w:val="24"/>
        </w:rPr>
      </w:pPr>
      <w:r w:rsidRPr="006530A7">
        <w:rPr>
          <w:sz w:val="24"/>
        </w:rPr>
        <w:t>Le più recenti misure a sostegno della domanda, contenute nel “decreto banche” varato a febbraio 2016 aprono ora un vasto e nuovo fronte di opportunità almeno per tutto l’anno in corso. L’azzeramento dell’imposta di registro (fissata al 9%) e l’introduzione d</w:t>
      </w:r>
      <w:r w:rsidR="00DE1CFA">
        <w:rPr>
          <w:sz w:val="24"/>
        </w:rPr>
        <w:t>i una “tassa piatta” pari a 200</w:t>
      </w:r>
      <w:r w:rsidRPr="006530A7">
        <w:rPr>
          <w:sz w:val="24"/>
        </w:rPr>
        <w:t>€, può infatti rimettere in moto il mercato delle vendite giudiziarie e, allo stesso tempo, ridurre la svalutazione almeno del 9% delle sofferenze bancarie legate agli immobili. Il provvedimento, tuttavia, pone come condizione tassativa la rivendita nei 24 mesi successivi all’acquisto.</w:t>
      </w:r>
    </w:p>
    <w:p w:rsidR="00B424F6" w:rsidRPr="006530A7" w:rsidRDefault="00091E8D" w:rsidP="00CF4D51">
      <w:pPr>
        <w:spacing w:before="120" w:after="120"/>
        <w:jc w:val="both"/>
        <w:rPr>
          <w:sz w:val="24"/>
        </w:rPr>
      </w:pPr>
      <w:r w:rsidRPr="006530A7">
        <w:rPr>
          <w:sz w:val="24"/>
        </w:rPr>
        <w:t>Questa agevolazione, che ha un carattere sperimentale per tutto il 2016, riguarda tutte le tipologie di acquirenti, persone fisiche comprese, e può contribuire ad evitare che gli immobili restino all’asta per un lungo tempo dando così impulso agli acquisti.</w:t>
      </w:r>
    </w:p>
    <w:p w:rsidR="00B424F6" w:rsidRPr="006530A7" w:rsidRDefault="00B424F6">
      <w:pPr>
        <w:rPr>
          <w:sz w:val="24"/>
        </w:rPr>
      </w:pPr>
      <w:r w:rsidRPr="006530A7">
        <w:rPr>
          <w:sz w:val="24"/>
        </w:rPr>
        <w:br w:type="page"/>
      </w:r>
    </w:p>
    <w:p w:rsidR="00764BB9" w:rsidRPr="0021744B" w:rsidRDefault="00537F8A" w:rsidP="008A4F0A">
      <w:pPr>
        <w:pStyle w:val="Titolo1"/>
        <w:numPr>
          <w:ilvl w:val="0"/>
          <w:numId w:val="16"/>
        </w:numPr>
        <w:spacing w:after="240"/>
        <w:ind w:left="709" w:hanging="709"/>
        <w:rPr>
          <w:rFonts w:asciiTheme="minorHAnsi" w:hAnsiTheme="minorHAnsi"/>
          <w:smallCaps/>
          <w:color w:val="auto"/>
          <w:sz w:val="32"/>
          <w:szCs w:val="32"/>
        </w:rPr>
      </w:pPr>
      <w:bookmarkStart w:id="17" w:name="_Toc445539600"/>
      <w:r w:rsidRPr="0021744B">
        <w:rPr>
          <w:rFonts w:asciiTheme="minorHAnsi" w:hAnsiTheme="minorHAnsi"/>
          <w:smallCaps/>
          <w:color w:val="auto"/>
          <w:sz w:val="32"/>
          <w:szCs w:val="32"/>
        </w:rPr>
        <w:lastRenderedPageBreak/>
        <w:t>Le dinamiche del territorio</w:t>
      </w:r>
      <w:bookmarkEnd w:id="17"/>
    </w:p>
    <w:p w:rsidR="00047C29" w:rsidRPr="006530A7" w:rsidRDefault="00E73154" w:rsidP="00CF4D51">
      <w:pPr>
        <w:spacing w:before="120" w:after="120"/>
        <w:jc w:val="both"/>
        <w:rPr>
          <w:sz w:val="24"/>
          <w:szCs w:val="24"/>
        </w:rPr>
      </w:pPr>
      <w:r w:rsidRPr="006530A7">
        <w:rPr>
          <w:sz w:val="24"/>
          <w:szCs w:val="24"/>
        </w:rPr>
        <w:t>L’indagine presso la rete di professionisti di Yard ha anche consentito di recepire informazioni dirette sullo stato dell</w:t>
      </w:r>
      <w:r w:rsidR="00DE1CFA">
        <w:rPr>
          <w:sz w:val="24"/>
          <w:szCs w:val="24"/>
        </w:rPr>
        <w:t xml:space="preserve">e </w:t>
      </w:r>
      <w:r w:rsidRPr="006530A7">
        <w:rPr>
          <w:sz w:val="24"/>
          <w:szCs w:val="24"/>
        </w:rPr>
        <w:t>economie territoriali, su alcuni fattori di contesto, e sugli interventi urbanistici in corso.</w:t>
      </w:r>
      <w:r w:rsidR="00946353" w:rsidRPr="006530A7">
        <w:rPr>
          <w:sz w:val="24"/>
          <w:szCs w:val="24"/>
        </w:rPr>
        <w:t xml:space="preserve"> Tali indicatori, opportunamente pesati, hanno portato a effettuare un rating dei 50 più rilevanti mercati locali del real estate italiano.</w:t>
      </w:r>
    </w:p>
    <w:p w:rsidR="00047C29" w:rsidRPr="00677E25" w:rsidRDefault="00946353" w:rsidP="00822ADA">
      <w:pPr>
        <w:pStyle w:val="Titolo2"/>
        <w:numPr>
          <w:ilvl w:val="1"/>
          <w:numId w:val="16"/>
        </w:numPr>
        <w:spacing w:before="640" w:after="320"/>
        <w:ind w:left="0" w:firstLine="0"/>
        <w:rPr>
          <w:rFonts w:asciiTheme="minorHAnsi" w:hAnsiTheme="minorHAnsi"/>
          <w:color w:val="auto"/>
        </w:rPr>
      </w:pPr>
      <w:bookmarkStart w:id="18" w:name="_Toc445539601"/>
      <w:r w:rsidRPr="00677E25">
        <w:rPr>
          <w:rFonts w:asciiTheme="minorHAnsi" w:hAnsiTheme="minorHAnsi"/>
          <w:color w:val="auto"/>
        </w:rPr>
        <w:t>Una tiepida ripresa aspettando il rilancio</w:t>
      </w:r>
      <w:bookmarkEnd w:id="18"/>
    </w:p>
    <w:p w:rsidR="00946353" w:rsidRPr="006530A7" w:rsidRDefault="00946353" w:rsidP="00CF4D51">
      <w:pPr>
        <w:spacing w:before="120" w:after="120"/>
        <w:jc w:val="both"/>
        <w:rPr>
          <w:sz w:val="24"/>
          <w:szCs w:val="24"/>
        </w:rPr>
      </w:pPr>
      <w:r w:rsidRPr="006530A7">
        <w:rPr>
          <w:sz w:val="24"/>
          <w:szCs w:val="24"/>
        </w:rPr>
        <w:t xml:space="preserve">Il quadro che emerge dalle valutazione degli </w:t>
      </w:r>
      <w:r w:rsidRPr="00DE1CFA">
        <w:rPr>
          <w:i/>
          <w:sz w:val="24"/>
          <w:szCs w:val="24"/>
        </w:rPr>
        <w:t>opinion leader</w:t>
      </w:r>
      <w:r w:rsidRPr="006530A7">
        <w:rPr>
          <w:sz w:val="24"/>
          <w:szCs w:val="24"/>
        </w:rPr>
        <w:t xml:space="preserve"> locali è abbastanza chiaro: solo in alcune città metropolitane</w:t>
      </w:r>
      <w:r w:rsidR="000B4388" w:rsidRPr="006530A7">
        <w:rPr>
          <w:sz w:val="24"/>
          <w:szCs w:val="24"/>
        </w:rPr>
        <w:t xml:space="preserve"> si può intravedere un inizio di rilancio dell’economia locale. Per la maggioranza relativa degli opinionisti (43%) il sistema produttivo resta in stagnazione, mentre per un ulteriore 37% si assiste a un lieve ripresa.  Una tale debole uscita dalla recessione è più presente nelle città metropolitane, dove è </w:t>
      </w:r>
      <w:r w:rsidR="00202469">
        <w:rPr>
          <w:sz w:val="24"/>
          <w:szCs w:val="24"/>
        </w:rPr>
        <w:t xml:space="preserve">segnalata dal 56% del campione </w:t>
      </w:r>
      <w:r w:rsidR="000B4388" w:rsidRPr="006530A7">
        <w:rPr>
          <w:sz w:val="24"/>
          <w:szCs w:val="24"/>
        </w:rPr>
        <w:t>e nel Centro Italia.</w:t>
      </w:r>
    </w:p>
    <w:p w:rsidR="00B379AA" w:rsidRPr="006530A7" w:rsidRDefault="000B4388" w:rsidP="00CF4D51">
      <w:pPr>
        <w:spacing w:before="120" w:after="120"/>
        <w:jc w:val="both"/>
        <w:rPr>
          <w:sz w:val="24"/>
          <w:szCs w:val="24"/>
        </w:rPr>
      </w:pPr>
      <w:r w:rsidRPr="006530A7">
        <w:rPr>
          <w:sz w:val="24"/>
          <w:szCs w:val="24"/>
        </w:rPr>
        <w:t xml:space="preserve">Resta critica la situazione del Mezzogiorno </w:t>
      </w:r>
      <w:r w:rsidR="00CD5B35">
        <w:rPr>
          <w:sz w:val="24"/>
          <w:szCs w:val="24"/>
        </w:rPr>
        <w:t>negativa</w:t>
      </w:r>
      <w:r w:rsidRPr="006530A7">
        <w:rPr>
          <w:sz w:val="24"/>
          <w:szCs w:val="24"/>
        </w:rPr>
        <w:t xml:space="preserve"> per il 24% degli intervistati a fronte di una media nazionale del 18</w:t>
      </w:r>
      <w:r w:rsidRPr="008C387B">
        <w:rPr>
          <w:sz w:val="24"/>
          <w:szCs w:val="24"/>
        </w:rPr>
        <w:t>% (</w:t>
      </w:r>
      <w:r w:rsidR="00B401F6" w:rsidRPr="008C387B">
        <w:rPr>
          <w:sz w:val="24"/>
          <w:szCs w:val="24"/>
        </w:rPr>
        <w:t>t</w:t>
      </w:r>
      <w:r w:rsidRPr="008C387B">
        <w:rPr>
          <w:sz w:val="24"/>
          <w:szCs w:val="24"/>
        </w:rPr>
        <w:t>ab.</w:t>
      </w:r>
      <w:r w:rsidR="00B379AA" w:rsidRPr="008C387B">
        <w:rPr>
          <w:sz w:val="24"/>
          <w:szCs w:val="24"/>
        </w:rPr>
        <w:t xml:space="preserve"> </w:t>
      </w:r>
      <w:r w:rsidR="00CF5664">
        <w:rPr>
          <w:sz w:val="24"/>
          <w:szCs w:val="24"/>
        </w:rPr>
        <w:t>9</w:t>
      </w:r>
      <w:r w:rsidR="00B379AA" w:rsidRPr="008C387B">
        <w:rPr>
          <w:sz w:val="24"/>
          <w:szCs w:val="24"/>
        </w:rPr>
        <w:t>)</w:t>
      </w:r>
      <w:r w:rsidR="00DE1CFA" w:rsidRPr="008C387B">
        <w:rPr>
          <w:sz w:val="24"/>
          <w:szCs w:val="24"/>
        </w:rPr>
        <w:t>.</w:t>
      </w:r>
    </w:p>
    <w:p w:rsidR="009E5798" w:rsidRPr="009B2312" w:rsidRDefault="00E97149" w:rsidP="00097AFE">
      <w:pPr>
        <w:pStyle w:val="Titolotabella"/>
      </w:pPr>
      <w:r w:rsidRPr="009B2312">
        <w:t>Tab.</w:t>
      </w:r>
      <w:r w:rsidR="00CF5664">
        <w:t>9</w:t>
      </w:r>
      <w:r w:rsidRPr="009B2312">
        <w:t xml:space="preserve"> – Stato dell’economia locale (val</w:t>
      </w:r>
      <w:r w:rsidR="00B21F18" w:rsidRPr="009B2312">
        <w:t>.</w:t>
      </w:r>
      <w:r w:rsidRPr="009B2312">
        <w:t>%)</w:t>
      </w:r>
    </w:p>
    <w:tbl>
      <w:tblPr>
        <w:tblStyle w:val="Sfondomedio1-Colore1"/>
        <w:tblW w:w="0" w:type="auto"/>
        <w:tblInd w:w="108" w:type="dxa"/>
        <w:tblLook w:val="04A0" w:firstRow="1" w:lastRow="0" w:firstColumn="1" w:lastColumn="0" w:noHBand="0" w:noVBand="1"/>
      </w:tblPr>
      <w:tblGrid>
        <w:gridCol w:w="1508"/>
        <w:gridCol w:w="1066"/>
        <w:gridCol w:w="1333"/>
        <w:gridCol w:w="1119"/>
        <w:gridCol w:w="1550"/>
        <w:gridCol w:w="1028"/>
        <w:gridCol w:w="900"/>
      </w:tblGrid>
      <w:tr w:rsidR="00562259" w:rsidRPr="009B2312" w:rsidTr="007C38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562259" w:rsidRPr="009B2312" w:rsidRDefault="00562259" w:rsidP="009E5798">
            <w:pPr>
              <w:rPr>
                <w:b w:val="0"/>
              </w:rPr>
            </w:pPr>
          </w:p>
        </w:tc>
        <w:tc>
          <w:tcPr>
            <w:tcW w:w="3518" w:type="dxa"/>
            <w:gridSpan w:val="3"/>
            <w:vAlign w:val="center"/>
          </w:tcPr>
          <w:p w:rsidR="00562259" w:rsidRPr="009B2312" w:rsidRDefault="00562259" w:rsidP="00CD5F83">
            <w:pPr>
              <w:jc w:val="center"/>
              <w:cnfStyle w:val="100000000000" w:firstRow="1" w:lastRow="0" w:firstColumn="0" w:lastColumn="0" w:oddVBand="0" w:evenVBand="0" w:oddHBand="0" w:evenHBand="0" w:firstRowFirstColumn="0" w:firstRowLastColumn="0" w:lastRowFirstColumn="0" w:lastRowLastColumn="0"/>
            </w:pPr>
            <w:r w:rsidRPr="009B2312">
              <w:t>Ripartizione</w:t>
            </w:r>
          </w:p>
        </w:tc>
        <w:tc>
          <w:tcPr>
            <w:tcW w:w="2578" w:type="dxa"/>
            <w:gridSpan w:val="2"/>
            <w:vAlign w:val="center"/>
          </w:tcPr>
          <w:p w:rsidR="00562259" w:rsidRPr="009B2312" w:rsidRDefault="00562259" w:rsidP="00CD5F83">
            <w:pPr>
              <w:jc w:val="center"/>
              <w:cnfStyle w:val="100000000000" w:firstRow="1" w:lastRow="0" w:firstColumn="0" w:lastColumn="0" w:oddVBand="0" w:evenVBand="0" w:oddHBand="0" w:evenHBand="0" w:firstRowFirstColumn="0" w:firstRowLastColumn="0" w:lastRowFirstColumn="0" w:lastRowLastColumn="0"/>
            </w:pPr>
            <w:r w:rsidRPr="009B2312">
              <w:t>Aree</w:t>
            </w:r>
          </w:p>
        </w:tc>
        <w:tc>
          <w:tcPr>
            <w:tcW w:w="900" w:type="dxa"/>
            <w:vMerge w:val="restart"/>
            <w:vAlign w:val="center"/>
          </w:tcPr>
          <w:p w:rsidR="00562259" w:rsidRPr="009B2312" w:rsidRDefault="00562259" w:rsidP="00CD5F83">
            <w:pPr>
              <w:jc w:val="center"/>
              <w:cnfStyle w:val="100000000000" w:firstRow="1" w:lastRow="0" w:firstColumn="0" w:lastColumn="0" w:oddVBand="0" w:evenVBand="0" w:oddHBand="0" w:evenHBand="0" w:firstRowFirstColumn="0" w:firstRowLastColumn="0" w:lastRowFirstColumn="0" w:lastRowLastColumn="0"/>
            </w:pPr>
            <w:r w:rsidRPr="009B2312">
              <w:t>Totale</w:t>
            </w:r>
          </w:p>
        </w:tc>
      </w:tr>
      <w:tr w:rsidR="00562259" w:rsidRPr="009B2312" w:rsidTr="007C3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shd w:val="clear" w:color="auto" w:fill="5B9BD5" w:themeFill="accent1"/>
          </w:tcPr>
          <w:p w:rsidR="00562259" w:rsidRPr="009B2312" w:rsidRDefault="00562259" w:rsidP="009E5798">
            <w:pPr>
              <w:rPr>
                <w:b w:val="0"/>
              </w:rPr>
            </w:pPr>
          </w:p>
        </w:tc>
        <w:tc>
          <w:tcPr>
            <w:tcW w:w="1066" w:type="dxa"/>
            <w:shd w:val="clear" w:color="auto" w:fill="5B9BD5" w:themeFill="accent1"/>
            <w:vAlign w:val="center"/>
          </w:tcPr>
          <w:p w:rsidR="00562259" w:rsidRPr="00CD5F83" w:rsidRDefault="00562259" w:rsidP="00CD5F83">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D5F83">
              <w:rPr>
                <w:b/>
                <w:color w:val="FFFFFF" w:themeColor="background1"/>
              </w:rPr>
              <w:t>Nord</w:t>
            </w:r>
          </w:p>
        </w:tc>
        <w:tc>
          <w:tcPr>
            <w:tcW w:w="1333" w:type="dxa"/>
            <w:shd w:val="clear" w:color="auto" w:fill="5B9BD5" w:themeFill="accent1"/>
            <w:vAlign w:val="center"/>
          </w:tcPr>
          <w:p w:rsidR="00562259" w:rsidRPr="00CD5F83" w:rsidRDefault="00562259" w:rsidP="00CD5F83">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D5F83">
              <w:rPr>
                <w:b/>
                <w:color w:val="FFFFFF" w:themeColor="background1"/>
              </w:rPr>
              <w:t>Centro</w:t>
            </w:r>
          </w:p>
        </w:tc>
        <w:tc>
          <w:tcPr>
            <w:tcW w:w="1119" w:type="dxa"/>
            <w:shd w:val="clear" w:color="auto" w:fill="5B9BD5" w:themeFill="accent1"/>
            <w:vAlign w:val="center"/>
          </w:tcPr>
          <w:p w:rsidR="00562259" w:rsidRPr="00CD5F83" w:rsidRDefault="00562259" w:rsidP="00CD5F83">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D5F83">
              <w:rPr>
                <w:b/>
                <w:color w:val="FFFFFF" w:themeColor="background1"/>
              </w:rPr>
              <w:t>Sud</w:t>
            </w:r>
            <w:r w:rsidR="004A2B65">
              <w:rPr>
                <w:b/>
                <w:color w:val="FFFFFF" w:themeColor="background1"/>
              </w:rPr>
              <w:t xml:space="preserve"> e isole</w:t>
            </w:r>
          </w:p>
        </w:tc>
        <w:tc>
          <w:tcPr>
            <w:tcW w:w="1550" w:type="dxa"/>
            <w:shd w:val="clear" w:color="auto" w:fill="5B9BD5" w:themeFill="accent1"/>
            <w:vAlign w:val="center"/>
          </w:tcPr>
          <w:p w:rsidR="00562259" w:rsidRPr="00CD5F83" w:rsidRDefault="00562259" w:rsidP="00CD5F83">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D5F83">
              <w:rPr>
                <w:b/>
                <w:color w:val="FFFFFF" w:themeColor="background1"/>
              </w:rPr>
              <w:t>Metropolitane</w:t>
            </w:r>
          </w:p>
        </w:tc>
        <w:tc>
          <w:tcPr>
            <w:tcW w:w="1028" w:type="dxa"/>
            <w:shd w:val="clear" w:color="auto" w:fill="5B9BD5" w:themeFill="accent1"/>
            <w:vAlign w:val="center"/>
          </w:tcPr>
          <w:p w:rsidR="00562259" w:rsidRPr="00CD5F83" w:rsidRDefault="00562259" w:rsidP="00CD5F83">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D5F83">
              <w:rPr>
                <w:b/>
                <w:color w:val="FFFFFF" w:themeColor="background1"/>
              </w:rPr>
              <w:t>Altre città</w:t>
            </w:r>
          </w:p>
        </w:tc>
        <w:tc>
          <w:tcPr>
            <w:tcW w:w="900" w:type="dxa"/>
            <w:vMerge/>
            <w:vAlign w:val="center"/>
          </w:tcPr>
          <w:p w:rsidR="00562259" w:rsidRPr="009B2312" w:rsidRDefault="00562259" w:rsidP="00CD5F83">
            <w:pPr>
              <w:jc w:val="center"/>
              <w:cnfStyle w:val="000000100000" w:firstRow="0" w:lastRow="0" w:firstColumn="0" w:lastColumn="0" w:oddVBand="0" w:evenVBand="0" w:oddHBand="1" w:evenHBand="0" w:firstRowFirstColumn="0" w:firstRowLastColumn="0" w:lastRowFirstColumn="0" w:lastRowLastColumn="0"/>
              <w:rPr>
                <w:b/>
              </w:rPr>
            </w:pPr>
          </w:p>
        </w:tc>
      </w:tr>
      <w:tr w:rsidR="005C13F8" w:rsidRPr="009B2312" w:rsidTr="007C3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5C13F8" w:rsidRPr="009B2312" w:rsidRDefault="005C13F8" w:rsidP="009E5798">
            <w:pPr>
              <w:rPr>
                <w:b w:val="0"/>
              </w:rPr>
            </w:pPr>
            <w:r w:rsidRPr="009B2312">
              <w:rPr>
                <w:b w:val="0"/>
              </w:rPr>
              <w:t>Crisi</w:t>
            </w:r>
          </w:p>
        </w:tc>
        <w:tc>
          <w:tcPr>
            <w:tcW w:w="1066"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15</w:t>
            </w:r>
          </w:p>
        </w:tc>
        <w:tc>
          <w:tcPr>
            <w:tcW w:w="1333"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15</w:t>
            </w:r>
          </w:p>
        </w:tc>
        <w:tc>
          <w:tcPr>
            <w:tcW w:w="1119"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24</w:t>
            </w:r>
          </w:p>
        </w:tc>
        <w:tc>
          <w:tcPr>
            <w:tcW w:w="1550"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4</w:t>
            </w:r>
          </w:p>
        </w:tc>
        <w:tc>
          <w:tcPr>
            <w:tcW w:w="1028"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22</w:t>
            </w:r>
          </w:p>
        </w:tc>
        <w:tc>
          <w:tcPr>
            <w:tcW w:w="900"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18</w:t>
            </w:r>
          </w:p>
        </w:tc>
      </w:tr>
      <w:tr w:rsidR="005C13F8" w:rsidRPr="009B2312" w:rsidTr="007C3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5C13F8" w:rsidRPr="009B2312" w:rsidRDefault="005C13F8" w:rsidP="009E5798">
            <w:pPr>
              <w:rPr>
                <w:b w:val="0"/>
              </w:rPr>
            </w:pPr>
            <w:r w:rsidRPr="009B2312">
              <w:rPr>
                <w:b w:val="0"/>
              </w:rPr>
              <w:t>Stagnazione</w:t>
            </w:r>
          </w:p>
        </w:tc>
        <w:tc>
          <w:tcPr>
            <w:tcW w:w="1066"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50</w:t>
            </w:r>
          </w:p>
        </w:tc>
        <w:tc>
          <w:tcPr>
            <w:tcW w:w="1333"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37</w:t>
            </w:r>
          </w:p>
        </w:tc>
        <w:tc>
          <w:tcPr>
            <w:tcW w:w="1119"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39</w:t>
            </w:r>
          </w:p>
        </w:tc>
        <w:tc>
          <w:tcPr>
            <w:tcW w:w="1550"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33</w:t>
            </w:r>
          </w:p>
        </w:tc>
        <w:tc>
          <w:tcPr>
            <w:tcW w:w="1028"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46</w:t>
            </w:r>
          </w:p>
        </w:tc>
        <w:tc>
          <w:tcPr>
            <w:tcW w:w="900"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43</w:t>
            </w:r>
          </w:p>
        </w:tc>
      </w:tr>
      <w:tr w:rsidR="005C13F8" w:rsidRPr="009B2312" w:rsidTr="007C3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5C13F8" w:rsidRPr="009B2312" w:rsidRDefault="005C13F8" w:rsidP="009E5798">
            <w:pPr>
              <w:rPr>
                <w:b w:val="0"/>
              </w:rPr>
            </w:pPr>
            <w:r w:rsidRPr="009B2312">
              <w:rPr>
                <w:b w:val="0"/>
              </w:rPr>
              <w:t>Lieve ripresa</w:t>
            </w:r>
          </w:p>
        </w:tc>
        <w:tc>
          <w:tcPr>
            <w:tcW w:w="1066"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33</w:t>
            </w:r>
          </w:p>
        </w:tc>
        <w:tc>
          <w:tcPr>
            <w:tcW w:w="1333"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45</w:t>
            </w:r>
          </w:p>
        </w:tc>
        <w:tc>
          <w:tcPr>
            <w:tcW w:w="1119"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36</w:t>
            </w:r>
          </w:p>
        </w:tc>
        <w:tc>
          <w:tcPr>
            <w:tcW w:w="1550"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56</w:t>
            </w:r>
          </w:p>
        </w:tc>
        <w:tc>
          <w:tcPr>
            <w:tcW w:w="1028"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32</w:t>
            </w:r>
          </w:p>
        </w:tc>
        <w:tc>
          <w:tcPr>
            <w:tcW w:w="900"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37</w:t>
            </w:r>
          </w:p>
        </w:tc>
      </w:tr>
      <w:tr w:rsidR="005C13F8" w:rsidRPr="009B2312" w:rsidTr="007C3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5C13F8" w:rsidRPr="009B2312" w:rsidRDefault="005C13F8" w:rsidP="009E5798">
            <w:pPr>
              <w:rPr>
                <w:b w:val="0"/>
              </w:rPr>
            </w:pPr>
            <w:r w:rsidRPr="009B2312">
              <w:rPr>
                <w:b w:val="0"/>
              </w:rPr>
              <w:t>Rilancio</w:t>
            </w:r>
          </w:p>
        </w:tc>
        <w:tc>
          <w:tcPr>
            <w:tcW w:w="1066"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2</w:t>
            </w:r>
          </w:p>
        </w:tc>
        <w:tc>
          <w:tcPr>
            <w:tcW w:w="1333"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3</w:t>
            </w:r>
          </w:p>
        </w:tc>
        <w:tc>
          <w:tcPr>
            <w:tcW w:w="1119"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w:t>
            </w:r>
          </w:p>
        </w:tc>
        <w:tc>
          <w:tcPr>
            <w:tcW w:w="1550"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7</w:t>
            </w:r>
          </w:p>
        </w:tc>
        <w:tc>
          <w:tcPr>
            <w:tcW w:w="1028"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w:t>
            </w:r>
          </w:p>
        </w:tc>
        <w:tc>
          <w:tcPr>
            <w:tcW w:w="900" w:type="dxa"/>
            <w:vAlign w:val="center"/>
          </w:tcPr>
          <w:p w:rsidR="005C13F8" w:rsidRPr="009B2312" w:rsidRDefault="005C13F8" w:rsidP="00CD5F83">
            <w:pPr>
              <w:jc w:val="center"/>
              <w:cnfStyle w:val="000000100000" w:firstRow="0" w:lastRow="0" w:firstColumn="0" w:lastColumn="0" w:oddVBand="0" w:evenVBand="0" w:oddHBand="1" w:evenHBand="0" w:firstRowFirstColumn="0" w:firstRowLastColumn="0" w:lastRowFirstColumn="0" w:lastRowLastColumn="0"/>
            </w:pPr>
            <w:r w:rsidRPr="009B2312">
              <w:t>2</w:t>
            </w:r>
          </w:p>
        </w:tc>
      </w:tr>
      <w:tr w:rsidR="005C13F8" w:rsidRPr="009B2312" w:rsidTr="007C3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5C13F8" w:rsidRPr="009B2312" w:rsidRDefault="005C13F8" w:rsidP="009E5798">
            <w:pPr>
              <w:rPr>
                <w:b w:val="0"/>
              </w:rPr>
            </w:pPr>
            <w:r w:rsidRPr="009B2312">
              <w:rPr>
                <w:b w:val="0"/>
              </w:rPr>
              <w:t>Totale</w:t>
            </w:r>
          </w:p>
        </w:tc>
        <w:tc>
          <w:tcPr>
            <w:tcW w:w="1066"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100</w:t>
            </w:r>
          </w:p>
        </w:tc>
        <w:tc>
          <w:tcPr>
            <w:tcW w:w="1333"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100</w:t>
            </w:r>
          </w:p>
        </w:tc>
        <w:tc>
          <w:tcPr>
            <w:tcW w:w="1119"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100</w:t>
            </w:r>
          </w:p>
        </w:tc>
        <w:tc>
          <w:tcPr>
            <w:tcW w:w="1550"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100</w:t>
            </w:r>
          </w:p>
        </w:tc>
        <w:tc>
          <w:tcPr>
            <w:tcW w:w="1028"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100</w:t>
            </w:r>
          </w:p>
        </w:tc>
        <w:tc>
          <w:tcPr>
            <w:tcW w:w="900" w:type="dxa"/>
            <w:vAlign w:val="center"/>
          </w:tcPr>
          <w:p w:rsidR="005C13F8" w:rsidRPr="009B2312" w:rsidRDefault="005C13F8" w:rsidP="00CD5F83">
            <w:pPr>
              <w:jc w:val="center"/>
              <w:cnfStyle w:val="000000010000" w:firstRow="0" w:lastRow="0" w:firstColumn="0" w:lastColumn="0" w:oddVBand="0" w:evenVBand="0" w:oddHBand="0" w:evenHBand="1" w:firstRowFirstColumn="0" w:firstRowLastColumn="0" w:lastRowFirstColumn="0" w:lastRowLastColumn="0"/>
            </w:pPr>
            <w:r w:rsidRPr="009B2312">
              <w:t>100</w:t>
            </w:r>
          </w:p>
        </w:tc>
      </w:tr>
    </w:tbl>
    <w:p w:rsidR="00E36EDA" w:rsidRPr="00FF18F7" w:rsidRDefault="008D04F1" w:rsidP="00BC64B8">
      <w:pPr>
        <w:pStyle w:val="StileFonte"/>
      </w:pPr>
      <w:r w:rsidRPr="009B2312">
        <w:t>Fonte: indagine</w:t>
      </w:r>
      <w:r w:rsidR="00E36EDA" w:rsidRPr="009B2312">
        <w:t xml:space="preserve"> RUR - Yard, 2016</w:t>
      </w:r>
    </w:p>
    <w:p w:rsidR="00B379AA" w:rsidRPr="006530A7" w:rsidRDefault="00B379AA" w:rsidP="00CF4D51">
      <w:pPr>
        <w:spacing w:before="120" w:after="120"/>
        <w:jc w:val="both"/>
        <w:rPr>
          <w:sz w:val="24"/>
          <w:szCs w:val="24"/>
        </w:rPr>
      </w:pPr>
      <w:r w:rsidRPr="006530A7">
        <w:rPr>
          <w:sz w:val="24"/>
          <w:szCs w:val="24"/>
        </w:rPr>
        <w:t xml:space="preserve">A guidare la fuoriuscita dalla fase di più acuta crisi sono settori caratteristici del sistema produttivo italiano, ma tradizionali come il </w:t>
      </w:r>
      <w:r w:rsidRPr="00847983">
        <w:rPr>
          <w:b/>
          <w:sz w:val="24"/>
          <w:szCs w:val="24"/>
        </w:rPr>
        <w:t>turismo</w:t>
      </w:r>
      <w:r w:rsidRPr="006530A7">
        <w:rPr>
          <w:sz w:val="24"/>
          <w:szCs w:val="24"/>
        </w:rPr>
        <w:t xml:space="preserve"> e </w:t>
      </w:r>
      <w:r w:rsidRPr="00847983">
        <w:rPr>
          <w:b/>
          <w:sz w:val="24"/>
          <w:szCs w:val="24"/>
        </w:rPr>
        <w:t>l’agro-alimentare</w:t>
      </w:r>
      <w:r w:rsidRPr="006530A7">
        <w:rPr>
          <w:sz w:val="24"/>
          <w:szCs w:val="24"/>
        </w:rPr>
        <w:t>.  Per quanto riguarda il primo, bisogna scontare l’effetto Expo che ha indubbiamente fatto da traino nazionale, sebbene non si sia</w:t>
      </w:r>
      <w:r w:rsidR="00847983">
        <w:rPr>
          <w:sz w:val="24"/>
          <w:szCs w:val="24"/>
        </w:rPr>
        <w:t xml:space="preserve"> riscontrato</w:t>
      </w:r>
      <w:r w:rsidRPr="006530A7">
        <w:rPr>
          <w:sz w:val="24"/>
          <w:szCs w:val="24"/>
        </w:rPr>
        <w:t xml:space="preserve"> nella città di Milano il poderoso impatto sulla ricettività che ci si aspettava. Ancora più deludente appare l’avvio del Giubileo Straordinario di Roma. </w:t>
      </w:r>
    </w:p>
    <w:p w:rsidR="002533F4" w:rsidRPr="006530A7" w:rsidRDefault="00B379AA" w:rsidP="00CF4D51">
      <w:pPr>
        <w:spacing w:before="120" w:after="120"/>
        <w:jc w:val="both"/>
        <w:rPr>
          <w:sz w:val="24"/>
          <w:szCs w:val="24"/>
        </w:rPr>
      </w:pPr>
      <w:r w:rsidRPr="006530A7">
        <w:rPr>
          <w:sz w:val="24"/>
          <w:szCs w:val="24"/>
        </w:rPr>
        <w:lastRenderedPageBreak/>
        <w:t xml:space="preserve">Per quanto attiene all’agro-alimentare prosegue il successo crescente del brand italiano per tutto quello che concerne food e convivialità. Seguono, poi, due comparti terziari di servizio alla produzione come la </w:t>
      </w:r>
      <w:r w:rsidRPr="00847983">
        <w:rPr>
          <w:b/>
          <w:sz w:val="24"/>
          <w:szCs w:val="24"/>
        </w:rPr>
        <w:t>logistica</w:t>
      </w:r>
      <w:r w:rsidRPr="006530A7">
        <w:rPr>
          <w:sz w:val="24"/>
          <w:szCs w:val="24"/>
        </w:rPr>
        <w:t xml:space="preserve"> e i </w:t>
      </w:r>
      <w:r w:rsidRPr="00847983">
        <w:rPr>
          <w:b/>
          <w:sz w:val="24"/>
          <w:szCs w:val="24"/>
        </w:rPr>
        <w:t>trasporti</w:t>
      </w:r>
      <w:r w:rsidRPr="006530A7">
        <w:rPr>
          <w:sz w:val="24"/>
          <w:szCs w:val="24"/>
        </w:rPr>
        <w:t xml:space="preserve">, e le </w:t>
      </w:r>
      <w:r w:rsidRPr="00847983">
        <w:rPr>
          <w:b/>
          <w:sz w:val="24"/>
          <w:szCs w:val="24"/>
        </w:rPr>
        <w:t>consulenze</w:t>
      </w:r>
      <w:r w:rsidRPr="006530A7">
        <w:rPr>
          <w:sz w:val="24"/>
          <w:szCs w:val="24"/>
        </w:rPr>
        <w:t xml:space="preserve"> e le </w:t>
      </w:r>
      <w:r w:rsidRPr="00847983">
        <w:rPr>
          <w:b/>
          <w:sz w:val="24"/>
          <w:szCs w:val="24"/>
        </w:rPr>
        <w:t>attività professionali</w:t>
      </w:r>
      <w:r w:rsidRPr="006530A7">
        <w:rPr>
          <w:sz w:val="24"/>
          <w:szCs w:val="24"/>
        </w:rPr>
        <w:t>. A riprova della trasformazione del modello di consumo</w:t>
      </w:r>
      <w:r w:rsidR="00BD66D7" w:rsidRPr="006530A7">
        <w:rPr>
          <w:sz w:val="24"/>
          <w:szCs w:val="24"/>
        </w:rPr>
        <w:t xml:space="preserve">, il commercio di vicinato fa da maggior traino rispetto alla Grande </w:t>
      </w:r>
      <w:r w:rsidR="00847983">
        <w:rPr>
          <w:sz w:val="24"/>
          <w:szCs w:val="24"/>
        </w:rPr>
        <w:t>D</w:t>
      </w:r>
      <w:r w:rsidR="00BD66D7" w:rsidRPr="006530A7">
        <w:rPr>
          <w:sz w:val="24"/>
          <w:szCs w:val="24"/>
        </w:rPr>
        <w:t>istribuzione Organizzata.</w:t>
      </w:r>
      <w:r w:rsidRPr="006530A7">
        <w:rPr>
          <w:sz w:val="24"/>
          <w:szCs w:val="24"/>
        </w:rPr>
        <w:t xml:space="preserve"> </w:t>
      </w:r>
    </w:p>
    <w:p w:rsidR="002533F4" w:rsidRPr="006530A7" w:rsidRDefault="00BD66D7" w:rsidP="00CF4D51">
      <w:pPr>
        <w:spacing w:before="120" w:after="120"/>
        <w:jc w:val="both"/>
        <w:rPr>
          <w:b/>
          <w:sz w:val="32"/>
          <w:szCs w:val="32"/>
        </w:rPr>
      </w:pPr>
      <w:r w:rsidRPr="006530A7">
        <w:rPr>
          <w:sz w:val="24"/>
          <w:szCs w:val="24"/>
        </w:rPr>
        <w:t xml:space="preserve">Agli ultimi due posti i comparti industriali, sia quello manifatturiero e tecnologico, che quello delle </w:t>
      </w:r>
      <w:r w:rsidRPr="008C387B">
        <w:rPr>
          <w:sz w:val="24"/>
          <w:szCs w:val="24"/>
        </w:rPr>
        <w:t>costruzioni (</w:t>
      </w:r>
      <w:r w:rsidR="00E36EDA" w:rsidRPr="008C387B">
        <w:rPr>
          <w:sz w:val="24"/>
          <w:szCs w:val="24"/>
        </w:rPr>
        <w:t>f</w:t>
      </w:r>
      <w:r w:rsidRPr="008C387B">
        <w:rPr>
          <w:sz w:val="24"/>
          <w:szCs w:val="24"/>
        </w:rPr>
        <w:t>ig.</w:t>
      </w:r>
      <w:r w:rsidR="00E36EDA" w:rsidRPr="008C387B">
        <w:rPr>
          <w:sz w:val="24"/>
          <w:szCs w:val="24"/>
        </w:rPr>
        <w:t xml:space="preserve"> </w:t>
      </w:r>
      <w:r w:rsidR="001B5AE7" w:rsidRPr="008C387B">
        <w:rPr>
          <w:sz w:val="24"/>
          <w:szCs w:val="24"/>
        </w:rPr>
        <w:t>29</w:t>
      </w:r>
      <w:r w:rsidRPr="008C387B">
        <w:rPr>
          <w:sz w:val="24"/>
          <w:szCs w:val="24"/>
        </w:rPr>
        <w:t>)</w:t>
      </w:r>
    </w:p>
    <w:p w:rsidR="002533F4" w:rsidRPr="00FF18F7" w:rsidRDefault="002533F4" w:rsidP="00097AFE">
      <w:pPr>
        <w:pStyle w:val="Titolotabella"/>
      </w:pPr>
      <w:r w:rsidRPr="00FF18F7">
        <w:t>Fig.</w:t>
      </w:r>
      <w:r w:rsidR="001B5AE7">
        <w:t>29</w:t>
      </w:r>
      <w:r w:rsidR="00E36EDA" w:rsidRPr="00FF18F7">
        <w:t xml:space="preserve"> </w:t>
      </w:r>
      <w:r w:rsidR="00E26D59">
        <w:t xml:space="preserve">– </w:t>
      </w:r>
      <w:r w:rsidRPr="00FF18F7">
        <w:t>I settori ritenuti con maggior capacità di tenuta e rilancio</w:t>
      </w:r>
      <w:r w:rsidR="00DA0340" w:rsidRPr="00FF18F7">
        <w:t xml:space="preserve"> (val</w:t>
      </w:r>
      <w:r w:rsidR="00A850A7">
        <w:t>.</w:t>
      </w:r>
      <w:r w:rsidR="00DA0340" w:rsidRPr="00FF18F7">
        <w:t>%)</w:t>
      </w:r>
    </w:p>
    <w:p w:rsidR="00D25DCD" w:rsidRDefault="00436DA0" w:rsidP="00D25DCD">
      <w:pPr>
        <w:pStyle w:val="StileFonte"/>
        <w:jc w:val="center"/>
      </w:pPr>
      <w:r w:rsidRPr="006530A7">
        <w:rPr>
          <w:b/>
          <w:noProof/>
          <w:sz w:val="32"/>
          <w:szCs w:val="32"/>
        </w:rPr>
        <w:drawing>
          <wp:inline distT="0" distB="0" distL="0" distR="0" wp14:anchorId="458492D6" wp14:editId="0A01F8A8">
            <wp:extent cx="5400675" cy="3095625"/>
            <wp:effectExtent l="0" t="0" r="9525" b="9525"/>
            <wp:docPr id="30" name="Gra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36EDA" w:rsidRPr="00BC64B8" w:rsidRDefault="008D04F1" w:rsidP="00BC64B8">
      <w:pPr>
        <w:pStyle w:val="StileFonte"/>
        <w:rPr>
          <w:b/>
          <w:sz w:val="32"/>
          <w:szCs w:val="32"/>
        </w:rPr>
      </w:pPr>
      <w:r>
        <w:t>Fonte: indagine</w:t>
      </w:r>
      <w:r w:rsidR="00E36EDA" w:rsidRPr="00FF18F7">
        <w:t xml:space="preserve"> RUR - Yard, 2016</w:t>
      </w:r>
    </w:p>
    <w:p w:rsidR="00BD66D7" w:rsidRPr="006530A7" w:rsidRDefault="00BD66D7" w:rsidP="00CF4D51">
      <w:pPr>
        <w:spacing w:before="120" w:after="120"/>
        <w:jc w:val="both"/>
        <w:rPr>
          <w:sz w:val="24"/>
          <w:szCs w:val="24"/>
        </w:rPr>
      </w:pPr>
      <w:r w:rsidRPr="006530A7">
        <w:rPr>
          <w:sz w:val="24"/>
          <w:szCs w:val="24"/>
        </w:rPr>
        <w:t xml:space="preserve">Da un punto di vista territoriale, i settori tradizionali sembrano aver maggior ruolo nel Centro Sud, la logistica nel Nord, i </w:t>
      </w:r>
      <w:r w:rsidRPr="008C387B">
        <w:rPr>
          <w:sz w:val="24"/>
          <w:szCs w:val="24"/>
        </w:rPr>
        <w:t>servizi consulenziali nel Centro Nord, il commercio di vicinato è più presente nel Mezzogiorno (</w:t>
      </w:r>
      <w:r w:rsidR="00E36EDA" w:rsidRPr="008C387B">
        <w:rPr>
          <w:sz w:val="24"/>
          <w:szCs w:val="24"/>
        </w:rPr>
        <w:t>f</w:t>
      </w:r>
      <w:r w:rsidRPr="008C387B">
        <w:rPr>
          <w:sz w:val="24"/>
          <w:szCs w:val="24"/>
        </w:rPr>
        <w:t>ig.</w:t>
      </w:r>
      <w:r w:rsidR="00E36EDA" w:rsidRPr="008C387B">
        <w:rPr>
          <w:sz w:val="24"/>
          <w:szCs w:val="24"/>
        </w:rPr>
        <w:t xml:space="preserve"> 3</w:t>
      </w:r>
      <w:r w:rsidR="001B5AE7" w:rsidRPr="008C387B">
        <w:rPr>
          <w:sz w:val="24"/>
          <w:szCs w:val="24"/>
        </w:rPr>
        <w:t>0</w:t>
      </w:r>
      <w:r w:rsidRPr="008C387B">
        <w:rPr>
          <w:sz w:val="24"/>
          <w:szCs w:val="24"/>
        </w:rPr>
        <w:t>).</w:t>
      </w:r>
    </w:p>
    <w:p w:rsidR="00BD66D7" w:rsidRPr="006530A7" w:rsidRDefault="00BD66D7" w:rsidP="00CF4D51">
      <w:pPr>
        <w:spacing w:before="120" w:after="120"/>
        <w:jc w:val="both"/>
        <w:rPr>
          <w:sz w:val="24"/>
          <w:szCs w:val="24"/>
        </w:rPr>
      </w:pPr>
      <w:r w:rsidRPr="006530A7">
        <w:rPr>
          <w:sz w:val="24"/>
          <w:szCs w:val="24"/>
        </w:rPr>
        <w:t>Per</w:t>
      </w:r>
      <w:r w:rsidR="00A95817" w:rsidRPr="006530A7">
        <w:rPr>
          <w:sz w:val="24"/>
          <w:szCs w:val="24"/>
        </w:rPr>
        <w:t xml:space="preserve"> quanto riguarda la dimensione dei centri, il turismo </w:t>
      </w:r>
      <w:r w:rsidR="00847983">
        <w:rPr>
          <w:sz w:val="24"/>
          <w:szCs w:val="24"/>
        </w:rPr>
        <w:t>dimostra maggiore intensità</w:t>
      </w:r>
      <w:r w:rsidR="00A95817" w:rsidRPr="006530A7">
        <w:rPr>
          <w:sz w:val="24"/>
          <w:szCs w:val="24"/>
        </w:rPr>
        <w:t xml:space="preserve"> nelle città metropolitane, quindi è più legato alla cultura o al business. Decisamente più presente nella provincia italiana il commercio </w:t>
      </w:r>
      <w:r w:rsidR="00A95817" w:rsidRPr="008C387B">
        <w:rPr>
          <w:sz w:val="24"/>
          <w:szCs w:val="24"/>
        </w:rPr>
        <w:t>tradizionale (</w:t>
      </w:r>
      <w:r w:rsidR="00E36EDA" w:rsidRPr="008C387B">
        <w:rPr>
          <w:sz w:val="24"/>
          <w:szCs w:val="24"/>
        </w:rPr>
        <w:t>f</w:t>
      </w:r>
      <w:r w:rsidR="00A95817" w:rsidRPr="008C387B">
        <w:rPr>
          <w:sz w:val="24"/>
          <w:szCs w:val="24"/>
        </w:rPr>
        <w:t>ig.</w:t>
      </w:r>
      <w:r w:rsidR="00E36EDA" w:rsidRPr="008C387B">
        <w:rPr>
          <w:sz w:val="24"/>
          <w:szCs w:val="24"/>
        </w:rPr>
        <w:t xml:space="preserve"> 3</w:t>
      </w:r>
      <w:r w:rsidR="001B5AE7" w:rsidRPr="008C387B">
        <w:rPr>
          <w:sz w:val="24"/>
          <w:szCs w:val="24"/>
        </w:rPr>
        <w:t>1</w:t>
      </w:r>
      <w:r w:rsidR="007C1B15" w:rsidRPr="008C387B">
        <w:rPr>
          <w:sz w:val="24"/>
          <w:szCs w:val="24"/>
        </w:rPr>
        <w:t>).</w:t>
      </w:r>
    </w:p>
    <w:p w:rsidR="003B0595" w:rsidRPr="006530A7" w:rsidRDefault="00A95817" w:rsidP="00097AFE">
      <w:pPr>
        <w:pStyle w:val="Titolotabella"/>
      </w:pPr>
      <w:r w:rsidRPr="006530A7">
        <w:br w:type="page"/>
      </w:r>
      <w:r w:rsidR="00506EE0">
        <w:lastRenderedPageBreak/>
        <w:t>Fig.</w:t>
      </w:r>
      <w:r w:rsidR="00E36EDA" w:rsidRPr="00FF18F7">
        <w:t>3</w:t>
      </w:r>
      <w:r w:rsidR="001B5AE7">
        <w:t>0</w:t>
      </w:r>
      <w:r w:rsidR="00E36EDA" w:rsidRPr="00FF18F7">
        <w:t xml:space="preserve"> </w:t>
      </w:r>
      <w:r w:rsidR="00E26D59">
        <w:t xml:space="preserve">– </w:t>
      </w:r>
      <w:r w:rsidR="00C910D0" w:rsidRPr="00FF18F7">
        <w:t>I settori trainanti dell’economia locale</w:t>
      </w:r>
      <w:r w:rsidR="00202469">
        <w:t xml:space="preserve"> </w:t>
      </w:r>
      <w:r w:rsidR="00436DA0" w:rsidRPr="00FF18F7">
        <w:t>- Le differenze geografiche</w:t>
      </w:r>
      <w:r w:rsidR="0061391D" w:rsidRPr="00FF18F7">
        <w:t xml:space="preserve"> (val.%)</w:t>
      </w:r>
    </w:p>
    <w:p w:rsidR="00D25DCD" w:rsidRDefault="003B0595" w:rsidP="00D25DCD">
      <w:pPr>
        <w:pStyle w:val="StileFonte"/>
        <w:jc w:val="center"/>
      </w:pPr>
      <w:r w:rsidRPr="006530A7">
        <w:rPr>
          <w:b/>
          <w:noProof/>
          <w:sz w:val="32"/>
          <w:szCs w:val="32"/>
        </w:rPr>
        <w:drawing>
          <wp:inline distT="0" distB="0" distL="0" distR="0" wp14:anchorId="08AD0181" wp14:editId="701F5560">
            <wp:extent cx="5400675" cy="2847975"/>
            <wp:effectExtent l="0" t="0" r="9525" b="9525"/>
            <wp:docPr id="458" name="Grafico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36EDA" w:rsidRPr="00FF18F7" w:rsidRDefault="008D04F1" w:rsidP="00D25DCD">
      <w:pPr>
        <w:pStyle w:val="StileFonte"/>
        <w:jc w:val="left"/>
        <w:rPr>
          <w:b/>
          <w:sz w:val="32"/>
          <w:szCs w:val="32"/>
        </w:rPr>
      </w:pPr>
      <w:r>
        <w:t>Fonte: indagine</w:t>
      </w:r>
      <w:r w:rsidR="00E36EDA" w:rsidRPr="00FF18F7">
        <w:t xml:space="preserve"> RUR - Yard, 2016</w:t>
      </w:r>
    </w:p>
    <w:p w:rsidR="002533F4" w:rsidRPr="00FF18F7" w:rsidRDefault="002533F4" w:rsidP="00097AFE">
      <w:pPr>
        <w:pStyle w:val="Titolotabella"/>
      </w:pPr>
      <w:r w:rsidRPr="00FF18F7">
        <w:t>Fig</w:t>
      </w:r>
      <w:r w:rsidR="00A709DE">
        <w:t>.</w:t>
      </w:r>
      <w:r w:rsidR="00E36EDA" w:rsidRPr="00FF18F7">
        <w:t>3</w:t>
      </w:r>
      <w:r w:rsidR="001B5AE7">
        <w:t>1</w:t>
      </w:r>
      <w:r w:rsidR="00E36EDA" w:rsidRPr="00FF18F7">
        <w:t xml:space="preserve"> </w:t>
      </w:r>
      <w:r w:rsidR="00E26D59">
        <w:t xml:space="preserve">– </w:t>
      </w:r>
      <w:r w:rsidR="00202469">
        <w:t>I s</w:t>
      </w:r>
      <w:r w:rsidRPr="00FF18F7">
        <w:t xml:space="preserve">ettori </w:t>
      </w:r>
      <w:r w:rsidR="00202469">
        <w:t xml:space="preserve">trainanti dell’economia locale </w:t>
      </w:r>
      <w:r w:rsidRPr="00FF18F7">
        <w:t>– Città metropolitane e non</w:t>
      </w:r>
      <w:r w:rsidR="009349F3" w:rsidRPr="00FF18F7">
        <w:t xml:space="preserve"> (val.%)</w:t>
      </w:r>
    </w:p>
    <w:p w:rsidR="00D25DCD" w:rsidRDefault="00436DA0" w:rsidP="00D25DCD">
      <w:pPr>
        <w:pStyle w:val="StileFonte"/>
        <w:jc w:val="center"/>
      </w:pPr>
      <w:r w:rsidRPr="006530A7">
        <w:rPr>
          <w:b/>
          <w:noProof/>
          <w:sz w:val="32"/>
          <w:szCs w:val="32"/>
        </w:rPr>
        <w:drawing>
          <wp:inline distT="0" distB="0" distL="0" distR="0" wp14:anchorId="7D1B47D2" wp14:editId="1A9F3E8C">
            <wp:extent cx="5448300" cy="2924175"/>
            <wp:effectExtent l="0" t="0" r="19050" b="9525"/>
            <wp:docPr id="29" name="Gra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36EDA" w:rsidRPr="00FF18F7" w:rsidRDefault="008D04F1" w:rsidP="00D25DCD">
      <w:pPr>
        <w:pStyle w:val="StileFonte"/>
        <w:jc w:val="left"/>
        <w:rPr>
          <w:b/>
          <w:sz w:val="32"/>
          <w:szCs w:val="32"/>
        </w:rPr>
      </w:pPr>
      <w:r>
        <w:t>Fonte: indagine</w:t>
      </w:r>
      <w:r w:rsidR="00E36EDA" w:rsidRPr="00FF18F7">
        <w:t xml:space="preserve"> RUR - Yard, 2016</w:t>
      </w:r>
    </w:p>
    <w:p w:rsidR="00580003" w:rsidRPr="006530A7" w:rsidRDefault="00A95817" w:rsidP="00822ADA">
      <w:pPr>
        <w:pStyle w:val="Titolo2"/>
        <w:numPr>
          <w:ilvl w:val="1"/>
          <w:numId w:val="16"/>
        </w:numPr>
        <w:spacing w:before="640" w:after="320"/>
        <w:ind w:left="0" w:firstLine="0"/>
        <w:rPr>
          <w:rFonts w:asciiTheme="minorHAnsi" w:hAnsiTheme="minorHAnsi"/>
          <w:color w:val="auto"/>
        </w:rPr>
      </w:pPr>
      <w:bookmarkStart w:id="19" w:name="_Toc445539602"/>
      <w:r w:rsidRPr="006530A7">
        <w:rPr>
          <w:rFonts w:asciiTheme="minorHAnsi" w:hAnsiTheme="minorHAnsi"/>
          <w:color w:val="auto"/>
        </w:rPr>
        <w:lastRenderedPageBreak/>
        <w:t xml:space="preserve">La </w:t>
      </w:r>
      <w:r w:rsidR="00847983">
        <w:rPr>
          <w:rFonts w:asciiTheme="minorHAnsi" w:hAnsiTheme="minorHAnsi"/>
          <w:color w:val="auto"/>
        </w:rPr>
        <w:t>rigenerazione</w:t>
      </w:r>
      <w:r w:rsidRPr="006530A7">
        <w:rPr>
          <w:rFonts w:asciiTheme="minorHAnsi" w:hAnsiTheme="minorHAnsi"/>
          <w:color w:val="auto"/>
        </w:rPr>
        <w:t xml:space="preserve"> urbana</w:t>
      </w:r>
      <w:bookmarkEnd w:id="19"/>
      <w:r w:rsidRPr="006530A7">
        <w:rPr>
          <w:rFonts w:asciiTheme="minorHAnsi" w:hAnsiTheme="minorHAnsi"/>
          <w:color w:val="auto"/>
        </w:rPr>
        <w:t xml:space="preserve"> </w:t>
      </w:r>
    </w:p>
    <w:p w:rsidR="008E0AB2" w:rsidRPr="006530A7" w:rsidRDefault="006529B2" w:rsidP="00CF4D51">
      <w:pPr>
        <w:spacing w:before="120" w:after="120"/>
        <w:jc w:val="both"/>
        <w:rPr>
          <w:sz w:val="24"/>
          <w:szCs w:val="24"/>
        </w:rPr>
      </w:pPr>
      <w:r w:rsidRPr="006530A7">
        <w:rPr>
          <w:sz w:val="24"/>
          <w:szCs w:val="24"/>
        </w:rPr>
        <w:t>L’intervento sul “</w:t>
      </w:r>
      <w:r w:rsidR="002C2E6D">
        <w:rPr>
          <w:sz w:val="24"/>
          <w:szCs w:val="24"/>
        </w:rPr>
        <w:t>b</w:t>
      </w:r>
      <w:r w:rsidRPr="006530A7">
        <w:rPr>
          <w:sz w:val="24"/>
          <w:szCs w:val="24"/>
        </w:rPr>
        <w:t xml:space="preserve">rown field” sta lentamente conquistando un notevole spazio negli investimenti edilizi delle nostre città. Il 67% dei tecnici locali, infatti, testimonia della presenza di un intervento di scala medio – grande nel campo della riqualificazione urbana, a fronte del 63% di nuove costruzioni. In particolare, la rigenerazione </w:t>
      </w:r>
      <w:r w:rsidR="008D5881" w:rsidRPr="006530A7">
        <w:rPr>
          <w:sz w:val="24"/>
          <w:szCs w:val="24"/>
        </w:rPr>
        <w:t xml:space="preserve">riguarda il </w:t>
      </w:r>
      <w:r w:rsidR="002C2E6D">
        <w:rPr>
          <w:sz w:val="24"/>
          <w:szCs w:val="24"/>
        </w:rPr>
        <w:t>C</w:t>
      </w:r>
      <w:r w:rsidR="008D5881" w:rsidRPr="006530A7">
        <w:rPr>
          <w:sz w:val="24"/>
          <w:szCs w:val="24"/>
        </w:rPr>
        <w:t>entro Italia e il</w:t>
      </w:r>
      <w:r w:rsidR="002C2E6D">
        <w:rPr>
          <w:sz w:val="24"/>
          <w:szCs w:val="24"/>
        </w:rPr>
        <w:t xml:space="preserve"> Nord e le C</w:t>
      </w:r>
      <w:r w:rsidR="00E11C7C">
        <w:rPr>
          <w:sz w:val="24"/>
          <w:szCs w:val="24"/>
        </w:rPr>
        <w:t xml:space="preserve">ittà </w:t>
      </w:r>
      <w:r w:rsidR="00E11C7C" w:rsidRPr="008C387B">
        <w:rPr>
          <w:sz w:val="24"/>
          <w:szCs w:val="24"/>
        </w:rPr>
        <w:t xml:space="preserve">metropolitane </w:t>
      </w:r>
      <w:r w:rsidR="008D5881" w:rsidRPr="008C387B">
        <w:rPr>
          <w:sz w:val="24"/>
          <w:szCs w:val="24"/>
        </w:rPr>
        <w:t>(</w:t>
      </w:r>
      <w:r w:rsidR="00E36EDA" w:rsidRPr="008C387B">
        <w:rPr>
          <w:sz w:val="24"/>
          <w:szCs w:val="24"/>
        </w:rPr>
        <w:t>f</w:t>
      </w:r>
      <w:r w:rsidR="008D5881" w:rsidRPr="008C387B">
        <w:rPr>
          <w:sz w:val="24"/>
          <w:szCs w:val="24"/>
        </w:rPr>
        <w:t xml:space="preserve">ig. </w:t>
      </w:r>
      <w:r w:rsidR="00E36EDA" w:rsidRPr="008C387B">
        <w:rPr>
          <w:sz w:val="24"/>
          <w:szCs w:val="24"/>
        </w:rPr>
        <w:t>3</w:t>
      </w:r>
      <w:r w:rsidR="001B5AE7" w:rsidRPr="008C387B">
        <w:rPr>
          <w:sz w:val="24"/>
          <w:szCs w:val="24"/>
        </w:rPr>
        <w:t>2</w:t>
      </w:r>
      <w:r w:rsidR="008D5881" w:rsidRPr="008C387B">
        <w:rPr>
          <w:sz w:val="24"/>
          <w:szCs w:val="24"/>
        </w:rPr>
        <w:t>).</w:t>
      </w:r>
    </w:p>
    <w:p w:rsidR="006529B2" w:rsidRPr="004673FF" w:rsidRDefault="006529B2" w:rsidP="00097AFE">
      <w:pPr>
        <w:pStyle w:val="Titolotabella"/>
      </w:pPr>
      <w:r w:rsidRPr="004673FF">
        <w:t>Fig.</w:t>
      </w:r>
      <w:r w:rsidR="00E36EDA" w:rsidRPr="004673FF">
        <w:t>3</w:t>
      </w:r>
      <w:r w:rsidR="001B5AE7">
        <w:t>2</w:t>
      </w:r>
      <w:r w:rsidRPr="004673FF">
        <w:t xml:space="preserve"> – Gli interventi edilizi autorizzati o in corso</w:t>
      </w:r>
      <w:r w:rsidR="00202469">
        <w:t xml:space="preserve">, per ripartizione geografica </w:t>
      </w:r>
      <w:r w:rsidR="00B21F18" w:rsidRPr="004673FF">
        <w:t>(val.%)</w:t>
      </w:r>
    </w:p>
    <w:p w:rsidR="00D25DCD" w:rsidRDefault="00A95817" w:rsidP="00BC64B8">
      <w:pPr>
        <w:pStyle w:val="StileFonte"/>
      </w:pPr>
      <w:r w:rsidRPr="006530A7">
        <w:rPr>
          <w:b/>
          <w:noProof/>
          <w:sz w:val="28"/>
          <w:szCs w:val="28"/>
        </w:rPr>
        <w:drawing>
          <wp:inline distT="0" distB="0" distL="0" distR="0" wp14:anchorId="6A2F530E" wp14:editId="349223E4">
            <wp:extent cx="5400675" cy="2867025"/>
            <wp:effectExtent l="0" t="0" r="9525" b="9525"/>
            <wp:docPr id="28" name="Gra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36EDA" w:rsidRPr="00BC64B8" w:rsidRDefault="008D04F1" w:rsidP="00BC64B8">
      <w:pPr>
        <w:pStyle w:val="StileFonte"/>
        <w:rPr>
          <w:b/>
          <w:sz w:val="28"/>
          <w:szCs w:val="28"/>
        </w:rPr>
      </w:pPr>
      <w:r>
        <w:t>Fonte: indagine</w:t>
      </w:r>
      <w:r w:rsidR="00E36EDA" w:rsidRPr="004673FF">
        <w:t xml:space="preserve"> RUR - Yard, 2016</w:t>
      </w:r>
    </w:p>
    <w:p w:rsidR="00580003" w:rsidRPr="006530A7" w:rsidRDefault="008D5881" w:rsidP="00CF4D51">
      <w:pPr>
        <w:spacing w:before="120" w:after="120"/>
        <w:jc w:val="both"/>
        <w:rPr>
          <w:sz w:val="24"/>
          <w:szCs w:val="24"/>
        </w:rPr>
      </w:pPr>
      <w:r w:rsidRPr="006530A7">
        <w:rPr>
          <w:sz w:val="24"/>
          <w:szCs w:val="24"/>
        </w:rPr>
        <w:t xml:space="preserve">Quanto alle principali destinazioni d’uso degli interventi in corso, al primo posto restano le </w:t>
      </w:r>
      <w:r w:rsidRPr="00847983">
        <w:rPr>
          <w:b/>
          <w:sz w:val="24"/>
          <w:szCs w:val="24"/>
        </w:rPr>
        <w:t>funzioni residenziali</w:t>
      </w:r>
      <w:r w:rsidRPr="006530A7">
        <w:rPr>
          <w:sz w:val="24"/>
          <w:szCs w:val="24"/>
        </w:rPr>
        <w:t xml:space="preserve"> sia per il nuovo che per il recupero.</w:t>
      </w:r>
      <w:r w:rsidR="00911DD6" w:rsidRPr="006530A7">
        <w:rPr>
          <w:sz w:val="24"/>
          <w:szCs w:val="24"/>
        </w:rPr>
        <w:t xml:space="preserve"> Sempre più diffusi sono gli </w:t>
      </w:r>
      <w:r w:rsidR="00911DD6" w:rsidRPr="00847983">
        <w:rPr>
          <w:b/>
          <w:sz w:val="24"/>
          <w:szCs w:val="24"/>
        </w:rPr>
        <w:t>usi misti</w:t>
      </w:r>
      <w:r w:rsidR="00911DD6" w:rsidRPr="006530A7">
        <w:rPr>
          <w:sz w:val="24"/>
          <w:szCs w:val="24"/>
        </w:rPr>
        <w:t xml:space="preserve"> soprattutto per la rigenerazione urbana. Mentre, per le nuove costruzioni, resta significativo l’investimento in </w:t>
      </w:r>
      <w:r w:rsidR="00911DD6" w:rsidRPr="00847983">
        <w:rPr>
          <w:b/>
          <w:sz w:val="24"/>
          <w:szCs w:val="24"/>
        </w:rPr>
        <w:t>centri commerciali</w:t>
      </w:r>
      <w:r w:rsidR="00911DD6" w:rsidRPr="006530A7">
        <w:rPr>
          <w:sz w:val="24"/>
          <w:szCs w:val="24"/>
        </w:rPr>
        <w:t xml:space="preserve">. </w:t>
      </w:r>
    </w:p>
    <w:p w:rsidR="00911DD6" w:rsidRPr="006530A7" w:rsidRDefault="00911DD6" w:rsidP="00CF4D51">
      <w:pPr>
        <w:spacing w:before="120" w:after="120"/>
        <w:jc w:val="both"/>
        <w:rPr>
          <w:sz w:val="24"/>
          <w:szCs w:val="24"/>
        </w:rPr>
      </w:pPr>
      <w:r w:rsidRPr="006530A7">
        <w:rPr>
          <w:sz w:val="24"/>
          <w:szCs w:val="24"/>
        </w:rPr>
        <w:t>In evidente affaticamento è la domanda corporate per uffici e logistica, rilevata rispettivamente</w:t>
      </w:r>
      <w:r w:rsidR="00E11C7C">
        <w:rPr>
          <w:sz w:val="24"/>
          <w:szCs w:val="24"/>
        </w:rPr>
        <w:t xml:space="preserve"> nel 5% e nel 2% dei </w:t>
      </w:r>
      <w:r w:rsidR="00E11C7C" w:rsidRPr="008C387B">
        <w:rPr>
          <w:sz w:val="24"/>
          <w:szCs w:val="24"/>
        </w:rPr>
        <w:t xml:space="preserve">territori </w:t>
      </w:r>
      <w:r w:rsidRPr="008C387B">
        <w:rPr>
          <w:sz w:val="24"/>
          <w:szCs w:val="24"/>
        </w:rPr>
        <w:t>(</w:t>
      </w:r>
      <w:r w:rsidR="00E36EDA" w:rsidRPr="008C387B">
        <w:rPr>
          <w:sz w:val="24"/>
          <w:szCs w:val="24"/>
        </w:rPr>
        <w:t>f</w:t>
      </w:r>
      <w:r w:rsidRPr="008C387B">
        <w:rPr>
          <w:sz w:val="24"/>
          <w:szCs w:val="24"/>
        </w:rPr>
        <w:t>ig.</w:t>
      </w:r>
      <w:r w:rsidR="00E36EDA" w:rsidRPr="008C387B">
        <w:rPr>
          <w:sz w:val="24"/>
          <w:szCs w:val="24"/>
        </w:rPr>
        <w:t xml:space="preserve"> 3</w:t>
      </w:r>
      <w:r w:rsidR="001B5AE7" w:rsidRPr="008C387B">
        <w:rPr>
          <w:sz w:val="24"/>
          <w:szCs w:val="24"/>
        </w:rPr>
        <w:t>3</w:t>
      </w:r>
      <w:r w:rsidRPr="008C387B">
        <w:rPr>
          <w:sz w:val="24"/>
          <w:szCs w:val="24"/>
        </w:rPr>
        <w:t>)</w:t>
      </w:r>
      <w:r w:rsidR="00E11C7C" w:rsidRPr="008C387B">
        <w:rPr>
          <w:sz w:val="24"/>
          <w:szCs w:val="24"/>
        </w:rPr>
        <w:t>.</w:t>
      </w:r>
    </w:p>
    <w:p w:rsidR="008E0AB2" w:rsidRPr="006530A7" w:rsidRDefault="00911DD6" w:rsidP="00CF4D51">
      <w:pPr>
        <w:spacing w:before="120" w:after="120"/>
        <w:jc w:val="both"/>
        <w:rPr>
          <w:sz w:val="24"/>
          <w:szCs w:val="24"/>
        </w:rPr>
      </w:pPr>
      <w:r w:rsidRPr="006530A7">
        <w:rPr>
          <w:sz w:val="24"/>
          <w:szCs w:val="24"/>
        </w:rPr>
        <w:t xml:space="preserve">A determinare le dinamiche della trasformazione urbana c’è senza dubbio la condizione reddituale delle famiglie e l’andamento </w:t>
      </w:r>
      <w:r w:rsidR="00847983">
        <w:rPr>
          <w:sz w:val="24"/>
          <w:szCs w:val="24"/>
        </w:rPr>
        <w:t>della produzione nazionale</w:t>
      </w:r>
      <w:r w:rsidRPr="006530A7">
        <w:rPr>
          <w:sz w:val="24"/>
          <w:szCs w:val="24"/>
        </w:rPr>
        <w:t xml:space="preserve">. Fin </w:t>
      </w:r>
      <w:r w:rsidRPr="006530A7">
        <w:rPr>
          <w:sz w:val="24"/>
          <w:szCs w:val="24"/>
        </w:rPr>
        <w:lastRenderedPageBreak/>
        <w:t>quando la domanda interna e gli investimenti resteranno contratti, la domanda di immobili registrerà un impulso debolmente crescente.</w:t>
      </w:r>
    </w:p>
    <w:p w:rsidR="002533F4" w:rsidRPr="00DB23B3" w:rsidRDefault="00E36EDA" w:rsidP="00097AFE">
      <w:pPr>
        <w:pStyle w:val="Titolotabella"/>
      </w:pPr>
      <w:r w:rsidRPr="00DB23B3">
        <w:rPr>
          <w:lang w:eastAsia="it-IT"/>
        </w:rPr>
        <w:t>Fig.3</w:t>
      </w:r>
      <w:r w:rsidR="001B5AE7" w:rsidRPr="00DB23B3">
        <w:rPr>
          <w:lang w:eastAsia="it-IT"/>
        </w:rPr>
        <w:t>3</w:t>
      </w:r>
      <w:r w:rsidRPr="00DB23B3">
        <w:rPr>
          <w:lang w:eastAsia="it-IT"/>
        </w:rPr>
        <w:t xml:space="preserve"> </w:t>
      </w:r>
      <w:r w:rsidR="00E26D59" w:rsidRPr="00DB23B3">
        <w:t xml:space="preserve">– </w:t>
      </w:r>
      <w:r w:rsidR="008D5881" w:rsidRPr="00DB23B3">
        <w:rPr>
          <w:lang w:eastAsia="it-IT"/>
        </w:rPr>
        <w:t xml:space="preserve">Le funzioni </w:t>
      </w:r>
      <w:r w:rsidR="00911DD6" w:rsidRPr="00DB23B3">
        <w:rPr>
          <w:lang w:eastAsia="it-IT"/>
        </w:rPr>
        <w:t>degli interventi in corso</w:t>
      </w:r>
      <w:r w:rsidR="001917EA">
        <w:rPr>
          <w:lang w:eastAsia="it-IT"/>
        </w:rPr>
        <w:t xml:space="preserve"> </w:t>
      </w:r>
      <w:r w:rsidR="00B21F18" w:rsidRPr="00DB23B3">
        <w:rPr>
          <w:lang w:eastAsia="it-IT"/>
        </w:rPr>
        <w:t>(val.%)</w:t>
      </w:r>
    </w:p>
    <w:p w:rsidR="00D25DCD" w:rsidRDefault="008D5881" w:rsidP="00BC64B8">
      <w:pPr>
        <w:pStyle w:val="StileFonte"/>
      </w:pPr>
      <w:r w:rsidRPr="006530A7">
        <w:rPr>
          <w:b/>
          <w:noProof/>
          <w:sz w:val="32"/>
          <w:szCs w:val="32"/>
        </w:rPr>
        <w:drawing>
          <wp:inline distT="0" distB="0" distL="0" distR="0" wp14:anchorId="6577B991" wp14:editId="3D16E46A">
            <wp:extent cx="5401339" cy="3157870"/>
            <wp:effectExtent l="0" t="0" r="27940" b="23495"/>
            <wp:docPr id="448" name="Grafico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36EDA" w:rsidRPr="00BC64B8" w:rsidRDefault="008D04F1" w:rsidP="00BC64B8">
      <w:pPr>
        <w:pStyle w:val="StileFonte"/>
        <w:rPr>
          <w:b/>
          <w:sz w:val="32"/>
          <w:szCs w:val="32"/>
        </w:rPr>
      </w:pPr>
      <w:r>
        <w:t>Fonte: indagine</w:t>
      </w:r>
      <w:r w:rsidR="00E36EDA" w:rsidRPr="004673FF">
        <w:t xml:space="preserve"> RUR - Yard, 2016</w:t>
      </w:r>
    </w:p>
    <w:p w:rsidR="002533F4" w:rsidRPr="006530A7" w:rsidRDefault="00911DD6" w:rsidP="00CF4D51">
      <w:pPr>
        <w:spacing w:before="120" w:after="120"/>
        <w:jc w:val="both"/>
        <w:rPr>
          <w:sz w:val="24"/>
          <w:szCs w:val="24"/>
        </w:rPr>
      </w:pPr>
      <w:r w:rsidRPr="006530A7">
        <w:rPr>
          <w:sz w:val="24"/>
          <w:szCs w:val="24"/>
        </w:rPr>
        <w:t xml:space="preserve">Tuttavia, un’altra importante variabile può determinare </w:t>
      </w:r>
      <w:r w:rsidR="00190B94" w:rsidRPr="006530A7">
        <w:rPr>
          <w:sz w:val="24"/>
          <w:szCs w:val="24"/>
        </w:rPr>
        <w:t>lentezze e blocchi dell’iniziativa</w:t>
      </w:r>
      <w:r w:rsidR="00847983">
        <w:rPr>
          <w:sz w:val="24"/>
          <w:szCs w:val="24"/>
        </w:rPr>
        <w:t xml:space="preserve"> di sviluppo</w:t>
      </w:r>
      <w:r w:rsidR="00190B94" w:rsidRPr="006530A7">
        <w:rPr>
          <w:sz w:val="24"/>
          <w:szCs w:val="24"/>
        </w:rPr>
        <w:t xml:space="preserve"> immobiliare, ed è il ruolo che può giocare la </w:t>
      </w:r>
      <w:r w:rsidR="00190B94" w:rsidRPr="00847983">
        <w:rPr>
          <w:b/>
          <w:sz w:val="24"/>
          <w:szCs w:val="24"/>
        </w:rPr>
        <w:t>Pubblica Amministrazione</w:t>
      </w:r>
      <w:r w:rsidR="00190B94" w:rsidRPr="006530A7">
        <w:rPr>
          <w:sz w:val="24"/>
          <w:szCs w:val="24"/>
        </w:rPr>
        <w:t>.</w:t>
      </w:r>
    </w:p>
    <w:p w:rsidR="00190B94" w:rsidRDefault="00190B94" w:rsidP="00CF4D51">
      <w:pPr>
        <w:spacing w:before="120" w:after="120"/>
        <w:jc w:val="both"/>
        <w:rPr>
          <w:sz w:val="24"/>
          <w:szCs w:val="24"/>
        </w:rPr>
      </w:pPr>
      <w:r w:rsidRPr="006530A7">
        <w:rPr>
          <w:sz w:val="24"/>
          <w:szCs w:val="24"/>
        </w:rPr>
        <w:t xml:space="preserve">Richiesti di dare una valutazione sul grado di efficienza di un selezionato insieme di uffici pubblici locali, gli </w:t>
      </w:r>
      <w:r w:rsidRPr="00DE1CFA">
        <w:rPr>
          <w:i/>
          <w:sz w:val="24"/>
          <w:szCs w:val="24"/>
        </w:rPr>
        <w:t>opinion leader</w:t>
      </w:r>
      <w:r w:rsidRPr="006530A7">
        <w:rPr>
          <w:sz w:val="24"/>
          <w:szCs w:val="24"/>
        </w:rPr>
        <w:t xml:space="preserve"> hanno, in genere, rilevato un buon livello nella funzionalità degli </w:t>
      </w:r>
      <w:r w:rsidR="00847983" w:rsidRPr="00847983">
        <w:rPr>
          <w:b/>
          <w:sz w:val="24"/>
          <w:szCs w:val="24"/>
        </w:rPr>
        <w:t>Uffici F</w:t>
      </w:r>
      <w:r w:rsidRPr="00847983">
        <w:rPr>
          <w:b/>
          <w:sz w:val="24"/>
          <w:szCs w:val="24"/>
        </w:rPr>
        <w:t>inanziari</w:t>
      </w:r>
      <w:r w:rsidRPr="006530A7">
        <w:rPr>
          <w:sz w:val="24"/>
          <w:szCs w:val="24"/>
        </w:rPr>
        <w:t xml:space="preserve"> (più quello del catasto che quello del registro specie nelle aree metropolitane). Gli </w:t>
      </w:r>
      <w:r w:rsidRPr="00847983">
        <w:rPr>
          <w:b/>
          <w:sz w:val="24"/>
          <w:szCs w:val="24"/>
        </w:rPr>
        <w:t xml:space="preserve">Uffici </w:t>
      </w:r>
      <w:r w:rsidR="00847983" w:rsidRPr="00847983">
        <w:rPr>
          <w:b/>
          <w:sz w:val="24"/>
          <w:szCs w:val="24"/>
        </w:rPr>
        <w:t>Tecnici C</w:t>
      </w:r>
      <w:r w:rsidRPr="00847983">
        <w:rPr>
          <w:b/>
          <w:sz w:val="24"/>
          <w:szCs w:val="24"/>
        </w:rPr>
        <w:t>omunali</w:t>
      </w:r>
      <w:r w:rsidRPr="006530A7">
        <w:rPr>
          <w:sz w:val="24"/>
          <w:szCs w:val="24"/>
        </w:rPr>
        <w:t xml:space="preserve"> e quelli </w:t>
      </w:r>
      <w:r w:rsidRPr="00847983">
        <w:rPr>
          <w:b/>
          <w:sz w:val="24"/>
          <w:szCs w:val="24"/>
        </w:rPr>
        <w:t>Giudiziari</w:t>
      </w:r>
      <w:r w:rsidRPr="006530A7">
        <w:rPr>
          <w:sz w:val="24"/>
          <w:szCs w:val="24"/>
        </w:rPr>
        <w:t xml:space="preserve">, invece, non ottengono la maggioranza dei </w:t>
      </w:r>
      <w:r w:rsidRPr="008C387B">
        <w:rPr>
          <w:sz w:val="24"/>
          <w:szCs w:val="24"/>
        </w:rPr>
        <w:t xml:space="preserve">consensi </w:t>
      </w:r>
      <w:r w:rsidR="00E36EDA" w:rsidRPr="008C387B">
        <w:rPr>
          <w:sz w:val="24"/>
          <w:szCs w:val="24"/>
        </w:rPr>
        <w:t>(f</w:t>
      </w:r>
      <w:r w:rsidRPr="008C387B">
        <w:rPr>
          <w:sz w:val="24"/>
          <w:szCs w:val="24"/>
        </w:rPr>
        <w:t>ig.</w:t>
      </w:r>
      <w:r w:rsidR="00DE1CFA" w:rsidRPr="008C387B">
        <w:rPr>
          <w:sz w:val="24"/>
          <w:szCs w:val="24"/>
        </w:rPr>
        <w:t xml:space="preserve"> </w:t>
      </w:r>
      <w:r w:rsidR="00E36EDA" w:rsidRPr="008C387B">
        <w:rPr>
          <w:sz w:val="24"/>
          <w:szCs w:val="24"/>
        </w:rPr>
        <w:t>3</w:t>
      </w:r>
      <w:r w:rsidR="001B5AE7" w:rsidRPr="008C387B">
        <w:rPr>
          <w:sz w:val="24"/>
          <w:szCs w:val="24"/>
        </w:rPr>
        <w:t>4</w:t>
      </w:r>
      <w:r w:rsidRPr="008C387B">
        <w:rPr>
          <w:sz w:val="24"/>
          <w:szCs w:val="24"/>
        </w:rPr>
        <w:t>)</w:t>
      </w:r>
      <w:r w:rsidR="00E11C7C" w:rsidRPr="008C387B">
        <w:rPr>
          <w:sz w:val="24"/>
          <w:szCs w:val="24"/>
        </w:rPr>
        <w:t>.</w:t>
      </w:r>
    </w:p>
    <w:p w:rsidR="008E0AB2" w:rsidRDefault="004A2B65" w:rsidP="00CF4D51">
      <w:pPr>
        <w:spacing w:before="120" w:after="120"/>
        <w:jc w:val="both"/>
        <w:rPr>
          <w:sz w:val="24"/>
          <w:szCs w:val="24"/>
        </w:rPr>
      </w:pPr>
      <w:r>
        <w:rPr>
          <w:sz w:val="24"/>
          <w:szCs w:val="24"/>
        </w:rPr>
        <w:t>Il real estate</w:t>
      </w:r>
      <w:r w:rsidR="008E0AB2" w:rsidRPr="006530A7">
        <w:rPr>
          <w:sz w:val="24"/>
          <w:szCs w:val="24"/>
        </w:rPr>
        <w:t xml:space="preserve"> già subisce le conseguenze di un difficile contesto economico, ma soffre, più di altri comparti, anche dei blocchi della Pubblica Amministrazione, trattandosi di un’industria incidente sul territorio. Sarebbe auspicabile che la riforma della Pa contribuisse significativamente a un’evoluzione del contesto regolamentare e procedurale in cui operano i</w:t>
      </w:r>
      <w:r w:rsidR="008E0AB2">
        <w:rPr>
          <w:sz w:val="24"/>
          <w:szCs w:val="24"/>
        </w:rPr>
        <w:t xml:space="preserve"> soggetti dell’immobiliare.</w:t>
      </w:r>
    </w:p>
    <w:p w:rsidR="00AA20AC" w:rsidRPr="004673FF" w:rsidRDefault="002533F4" w:rsidP="00097AFE">
      <w:pPr>
        <w:pStyle w:val="Titolotabella"/>
        <w:rPr>
          <w:lang w:eastAsia="it-IT"/>
        </w:rPr>
      </w:pPr>
      <w:r w:rsidRPr="004673FF">
        <w:rPr>
          <w:lang w:eastAsia="it-IT"/>
        </w:rPr>
        <w:lastRenderedPageBreak/>
        <w:t>Fig</w:t>
      </w:r>
      <w:r w:rsidR="00506EE0">
        <w:rPr>
          <w:lang w:eastAsia="it-IT"/>
        </w:rPr>
        <w:t>.</w:t>
      </w:r>
      <w:r w:rsidR="00E36EDA" w:rsidRPr="004673FF">
        <w:rPr>
          <w:lang w:eastAsia="it-IT"/>
        </w:rPr>
        <w:t>3</w:t>
      </w:r>
      <w:r w:rsidR="001B5AE7">
        <w:rPr>
          <w:lang w:eastAsia="it-IT"/>
        </w:rPr>
        <w:t>4</w:t>
      </w:r>
      <w:r w:rsidR="00E36EDA" w:rsidRPr="004673FF">
        <w:rPr>
          <w:lang w:eastAsia="it-IT"/>
        </w:rPr>
        <w:t xml:space="preserve"> </w:t>
      </w:r>
      <w:r w:rsidR="005257EC">
        <w:t xml:space="preserve">– </w:t>
      </w:r>
      <w:r w:rsidR="00551280" w:rsidRPr="004673FF">
        <w:rPr>
          <w:lang w:eastAsia="it-IT"/>
        </w:rPr>
        <w:t>L’</w:t>
      </w:r>
      <w:r w:rsidRPr="004673FF">
        <w:rPr>
          <w:lang w:eastAsia="it-IT"/>
        </w:rPr>
        <w:t>e</w:t>
      </w:r>
      <w:r w:rsidR="00551280" w:rsidRPr="004673FF">
        <w:rPr>
          <w:lang w:eastAsia="it-IT"/>
        </w:rPr>
        <w:t>fficienza degli Uffici pubblici</w:t>
      </w:r>
      <w:r w:rsidR="001917EA">
        <w:rPr>
          <w:lang w:eastAsia="it-IT"/>
        </w:rPr>
        <w:t xml:space="preserve">, per tipologia urbana </w:t>
      </w:r>
      <w:r w:rsidR="00AA20AC" w:rsidRPr="004673FF">
        <w:rPr>
          <w:lang w:eastAsia="it-IT"/>
        </w:rPr>
        <w:t>(val.%)</w:t>
      </w:r>
    </w:p>
    <w:p w:rsidR="00D25DCD" w:rsidRDefault="00C10C27" w:rsidP="00BC64B8">
      <w:pPr>
        <w:pStyle w:val="StileFonte"/>
      </w:pPr>
      <w:r w:rsidRPr="006530A7">
        <w:rPr>
          <w:b/>
          <w:noProof/>
          <w:sz w:val="32"/>
          <w:szCs w:val="32"/>
        </w:rPr>
        <w:drawing>
          <wp:inline distT="0" distB="0" distL="0" distR="0" wp14:anchorId="32459033" wp14:editId="31B9B844">
            <wp:extent cx="5401339" cy="3636335"/>
            <wp:effectExtent l="0" t="0" r="8890" b="2540"/>
            <wp:docPr id="455" name="Grafico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B23B3" w:rsidRDefault="008D04F1" w:rsidP="00D25DCD">
      <w:pPr>
        <w:pStyle w:val="StileFonte"/>
      </w:pPr>
      <w:r>
        <w:t>Fonte: indagine</w:t>
      </w:r>
      <w:r w:rsidR="00E36EDA" w:rsidRPr="004673FF">
        <w:t xml:space="preserve"> RUR - Yard, 2016</w:t>
      </w:r>
    </w:p>
    <w:p w:rsidR="00DD0B2A" w:rsidRPr="00DB23B3" w:rsidRDefault="00DB23B3" w:rsidP="00DB23B3">
      <w:pPr>
        <w:rPr>
          <w:i/>
          <w:sz w:val="18"/>
          <w:lang w:eastAsia="it-IT"/>
        </w:rPr>
      </w:pPr>
      <w:r>
        <w:br w:type="page"/>
      </w:r>
    </w:p>
    <w:p w:rsidR="00C910D0" w:rsidRPr="00DB23B3" w:rsidRDefault="00190B94" w:rsidP="00DB23B3">
      <w:pPr>
        <w:pStyle w:val="Titolo1"/>
        <w:numPr>
          <w:ilvl w:val="0"/>
          <w:numId w:val="16"/>
        </w:numPr>
        <w:spacing w:after="240"/>
        <w:ind w:left="709" w:hanging="709"/>
        <w:rPr>
          <w:rFonts w:asciiTheme="minorHAnsi" w:hAnsiTheme="minorHAnsi"/>
          <w:smallCaps/>
          <w:color w:val="auto"/>
          <w:sz w:val="32"/>
          <w:szCs w:val="32"/>
        </w:rPr>
      </w:pPr>
      <w:bookmarkStart w:id="20" w:name="_Toc445539603"/>
      <w:r w:rsidRPr="00DB23B3">
        <w:rPr>
          <w:rFonts w:asciiTheme="minorHAnsi" w:hAnsiTheme="minorHAnsi"/>
          <w:smallCaps/>
          <w:color w:val="auto"/>
          <w:sz w:val="32"/>
          <w:szCs w:val="32"/>
        </w:rPr>
        <w:lastRenderedPageBreak/>
        <w:t>La “granularità” del sistema</w:t>
      </w:r>
      <w:r w:rsidR="003B015D" w:rsidRPr="00DB23B3">
        <w:rPr>
          <w:rFonts w:asciiTheme="minorHAnsi" w:hAnsiTheme="minorHAnsi"/>
          <w:smallCaps/>
          <w:color w:val="auto"/>
          <w:sz w:val="32"/>
          <w:szCs w:val="32"/>
        </w:rPr>
        <w:t xml:space="preserve"> territoriale</w:t>
      </w:r>
      <w:bookmarkEnd w:id="20"/>
    </w:p>
    <w:p w:rsidR="00221A09" w:rsidRPr="006530A7" w:rsidRDefault="00221A09" w:rsidP="00CF4D51">
      <w:pPr>
        <w:spacing w:before="120" w:after="120"/>
        <w:jc w:val="both"/>
        <w:rPr>
          <w:sz w:val="24"/>
          <w:szCs w:val="24"/>
        </w:rPr>
      </w:pPr>
      <w:r w:rsidRPr="006530A7">
        <w:rPr>
          <w:sz w:val="24"/>
          <w:szCs w:val="24"/>
        </w:rPr>
        <w:t>Il quadro fin qui delineato ha offerto una panoramica assai ricca di spunti sul futuro del Real Estate italiano. Lo ha declinato secondo le diversità geografiche esistenti nel paese (Nord, Centro, Sud) distinguendo le realtà metropolitane dal resto.</w:t>
      </w:r>
    </w:p>
    <w:p w:rsidR="00B403ED" w:rsidRPr="006530A7" w:rsidRDefault="00221A09" w:rsidP="00CF4D51">
      <w:pPr>
        <w:spacing w:before="120" w:after="120"/>
        <w:jc w:val="both"/>
        <w:rPr>
          <w:sz w:val="24"/>
          <w:szCs w:val="24"/>
        </w:rPr>
      </w:pPr>
      <w:r w:rsidRPr="006530A7">
        <w:rPr>
          <w:sz w:val="24"/>
          <w:szCs w:val="24"/>
        </w:rPr>
        <w:t xml:space="preserve">I mercati immobiliari, in quanto mercati imperfetti, registrano variabilità molto significative a livello locale. Più si frammentano i territori di riferimento, più l’analisi previsiva risulta difficile. Tuttavia, avendo a disposizione un campione molto presente nel territorio nazionale </w:t>
      </w:r>
      <w:r w:rsidR="00DB23B3">
        <w:rPr>
          <w:sz w:val="24"/>
          <w:szCs w:val="24"/>
        </w:rPr>
        <w:t>che copre praticamente la stragrande maggioranza delle province</w:t>
      </w:r>
      <w:r w:rsidRPr="006530A7">
        <w:rPr>
          <w:sz w:val="24"/>
          <w:szCs w:val="24"/>
        </w:rPr>
        <w:t>, si è voluto realizzare un esercizio di rating</w:t>
      </w:r>
      <w:r w:rsidR="00DB23B3">
        <w:rPr>
          <w:sz w:val="24"/>
          <w:szCs w:val="24"/>
        </w:rPr>
        <w:t xml:space="preserve"> territoriale</w:t>
      </w:r>
      <w:r w:rsidRPr="006530A7">
        <w:rPr>
          <w:sz w:val="24"/>
          <w:szCs w:val="24"/>
        </w:rPr>
        <w:t>, selezionando 50 mercati principali sia per dimensione degli scambi, che per altre ragioni d’interesse (tipo Matera prossima capitale della cultura, Como nuovo trattamento fiscale dei frontalieri, Aosta capitale di regione a statuto speciale, Varese, Pavia, Piacenza per il pendolarismo su Milano</w:t>
      </w:r>
      <w:r w:rsidR="00DB23B3">
        <w:rPr>
          <w:sz w:val="24"/>
          <w:szCs w:val="24"/>
        </w:rPr>
        <w:t>, etc</w:t>
      </w:r>
      <w:r w:rsidRPr="006530A7">
        <w:rPr>
          <w:sz w:val="24"/>
          <w:szCs w:val="24"/>
        </w:rPr>
        <w:t>)</w:t>
      </w:r>
      <w:r w:rsidR="00B403ED" w:rsidRPr="006530A7">
        <w:rPr>
          <w:sz w:val="24"/>
          <w:szCs w:val="24"/>
        </w:rPr>
        <w:t>.</w:t>
      </w:r>
    </w:p>
    <w:p w:rsidR="00B403ED" w:rsidRDefault="00B403ED" w:rsidP="00CF4D51">
      <w:pPr>
        <w:spacing w:before="120" w:after="120"/>
        <w:jc w:val="both"/>
        <w:rPr>
          <w:sz w:val="24"/>
          <w:szCs w:val="24"/>
        </w:rPr>
      </w:pPr>
      <w:r w:rsidRPr="006530A7">
        <w:rPr>
          <w:sz w:val="24"/>
          <w:szCs w:val="24"/>
        </w:rPr>
        <w:t>Gli</w:t>
      </w:r>
      <w:r w:rsidR="00221A09" w:rsidRPr="006530A7">
        <w:rPr>
          <w:sz w:val="24"/>
          <w:szCs w:val="24"/>
        </w:rPr>
        <w:t xml:space="preserve"> </w:t>
      </w:r>
      <w:r w:rsidRPr="006530A7">
        <w:rPr>
          <w:sz w:val="24"/>
          <w:szCs w:val="24"/>
        </w:rPr>
        <w:t xml:space="preserve">indicatori utilizzati e pesati riguardano: le </w:t>
      </w:r>
      <w:r w:rsidRPr="00DB23B3">
        <w:rPr>
          <w:b/>
          <w:sz w:val="24"/>
          <w:szCs w:val="24"/>
        </w:rPr>
        <w:t xml:space="preserve">prospettive del mercato </w:t>
      </w:r>
      <w:r w:rsidR="005E5C2A" w:rsidRPr="00DB23B3">
        <w:rPr>
          <w:b/>
          <w:sz w:val="24"/>
          <w:szCs w:val="24"/>
        </w:rPr>
        <w:t>immobiliare</w:t>
      </w:r>
      <w:r w:rsidRPr="006530A7">
        <w:rPr>
          <w:sz w:val="24"/>
          <w:szCs w:val="24"/>
        </w:rPr>
        <w:t xml:space="preserve"> (giudicate sinteticamente), la presenza di </w:t>
      </w:r>
      <w:r w:rsidRPr="00DB23B3">
        <w:rPr>
          <w:b/>
          <w:sz w:val="24"/>
          <w:szCs w:val="24"/>
        </w:rPr>
        <w:t>interventi per le diverse tipologie</w:t>
      </w:r>
      <w:r w:rsidRPr="006530A7">
        <w:rPr>
          <w:sz w:val="24"/>
          <w:szCs w:val="24"/>
        </w:rPr>
        <w:t xml:space="preserve">, lo </w:t>
      </w:r>
      <w:r w:rsidRPr="00DB23B3">
        <w:rPr>
          <w:b/>
          <w:sz w:val="24"/>
          <w:szCs w:val="24"/>
        </w:rPr>
        <w:t>stato</w:t>
      </w:r>
      <w:r w:rsidRPr="006530A7">
        <w:rPr>
          <w:sz w:val="24"/>
          <w:szCs w:val="24"/>
        </w:rPr>
        <w:t xml:space="preserve"> </w:t>
      </w:r>
      <w:r w:rsidRPr="00DB23B3">
        <w:rPr>
          <w:b/>
          <w:sz w:val="24"/>
          <w:szCs w:val="24"/>
        </w:rPr>
        <w:t>dell’economia locale</w:t>
      </w:r>
      <w:r w:rsidRPr="006530A7">
        <w:rPr>
          <w:sz w:val="24"/>
          <w:szCs w:val="24"/>
        </w:rPr>
        <w:t xml:space="preserve">. </w:t>
      </w:r>
    </w:p>
    <w:p w:rsidR="003D6CF4" w:rsidRPr="002C2E6D" w:rsidRDefault="003D6CF4" w:rsidP="00CF4D51">
      <w:pPr>
        <w:spacing w:before="120" w:after="120"/>
        <w:jc w:val="both"/>
        <w:rPr>
          <w:sz w:val="24"/>
          <w:szCs w:val="24"/>
        </w:rPr>
      </w:pPr>
      <w:r w:rsidRPr="002C2E6D">
        <w:rPr>
          <w:sz w:val="24"/>
          <w:szCs w:val="24"/>
        </w:rPr>
        <w:t>Si tratta, pertanto, di tre parametri che fanno sintesi delle possibili prospettive a livello locale e con riguardo ai diversi segmenti di mercato. Infatti, oltre al prevedibile andamento futuro del real estate, è stata valutata la presenza di investimenti per complessi (nuovi o d</w:t>
      </w:r>
      <w:r w:rsidR="002C2E6D">
        <w:rPr>
          <w:sz w:val="24"/>
          <w:szCs w:val="24"/>
        </w:rPr>
        <w:t>i</w:t>
      </w:r>
      <w:r w:rsidRPr="002C2E6D">
        <w:rPr>
          <w:sz w:val="24"/>
          <w:szCs w:val="24"/>
        </w:rPr>
        <w:t xml:space="preserve"> riqualificazione) di una certa dimensione e destinati a funzioni residenziali o corporate. Inoltre, come terzo parametro, si è ritenuto indispensabile inserire il tono dell’economia locale, sull</w:t>
      </w:r>
      <w:r w:rsidR="002C2E6D">
        <w:rPr>
          <w:sz w:val="24"/>
          <w:szCs w:val="24"/>
        </w:rPr>
        <w:t>a base della convinzione che il</w:t>
      </w:r>
      <w:r w:rsidRPr="002C2E6D">
        <w:rPr>
          <w:sz w:val="24"/>
          <w:szCs w:val="24"/>
        </w:rPr>
        <w:t xml:space="preserve"> dinamismo del sistema imprenditoriale costituisce un parametro determinante per la formazione della domanda, per la commerciabilità dei beni e per i livelli di prezzo.  </w:t>
      </w:r>
    </w:p>
    <w:p w:rsidR="003D6CF4" w:rsidRPr="002C2E6D" w:rsidRDefault="003D6CF4" w:rsidP="00CF4D51">
      <w:pPr>
        <w:spacing w:before="120" w:after="120"/>
        <w:jc w:val="both"/>
        <w:rPr>
          <w:sz w:val="24"/>
          <w:szCs w:val="24"/>
        </w:rPr>
      </w:pPr>
      <w:r w:rsidRPr="002C2E6D">
        <w:rPr>
          <w:sz w:val="24"/>
          <w:szCs w:val="24"/>
        </w:rPr>
        <w:t>In questa prima edizione del Rapporto RUR-Yard, la granularità del sistema viene analizzata in modo sperimentale, tuttavia cerca di rispondere alle esigenze di investitori e istituti di credito, ovvero di operatori che hanno bisogno di individuare, alla scala territoriale, un’attendibile “direzione di marcia” del mercato immobiliare.</w:t>
      </w:r>
    </w:p>
    <w:p w:rsidR="003D6CF4" w:rsidRDefault="003D6CF4" w:rsidP="00CF4D51">
      <w:pPr>
        <w:spacing w:before="120" w:after="120"/>
        <w:jc w:val="both"/>
        <w:rPr>
          <w:sz w:val="24"/>
          <w:szCs w:val="24"/>
        </w:rPr>
      </w:pPr>
      <w:r w:rsidRPr="002C2E6D">
        <w:rPr>
          <w:sz w:val="24"/>
          <w:szCs w:val="24"/>
        </w:rPr>
        <w:t>E’ noto come, pur essendo l’Italia un sistema policentrico e ricco di grandi opportunità anche i</w:t>
      </w:r>
      <w:r w:rsidR="001917EA">
        <w:rPr>
          <w:sz w:val="24"/>
          <w:szCs w:val="24"/>
        </w:rPr>
        <w:t>n</w:t>
      </w:r>
      <w:r w:rsidRPr="002C2E6D">
        <w:rPr>
          <w:sz w:val="24"/>
          <w:szCs w:val="24"/>
        </w:rPr>
        <w:t xml:space="preserve"> sistemi urbani intermedi, tutte le attenzioni siano rivolte fondamentalmente alle due realtà maggiori di Milano e Roma. Secondo le rilevazioni di Italy commercial real estate, le </w:t>
      </w:r>
      <w:r w:rsidRPr="002C2E6D">
        <w:rPr>
          <w:i/>
          <w:sz w:val="24"/>
          <w:szCs w:val="24"/>
        </w:rPr>
        <w:t xml:space="preserve">investment transactions </w:t>
      </w:r>
      <w:r w:rsidRPr="002C2E6D">
        <w:rPr>
          <w:sz w:val="24"/>
          <w:szCs w:val="24"/>
        </w:rPr>
        <w:t xml:space="preserve">hanno raggiunto nel 2015 gli 8.047 milioni di </w:t>
      </w:r>
      <w:r w:rsidR="002C2E6D">
        <w:rPr>
          <w:sz w:val="24"/>
          <w:szCs w:val="24"/>
        </w:rPr>
        <w:t>€, di questi nell’</w:t>
      </w:r>
      <w:r w:rsidRPr="002C2E6D">
        <w:rPr>
          <w:sz w:val="24"/>
          <w:szCs w:val="24"/>
        </w:rPr>
        <w:t xml:space="preserve">area milanese si sono localizzati investimenti per 5.186 milioni pari al 64,4% del totale, in quella romana 806 milioni. Seguono realtà economiche molto </w:t>
      </w:r>
      <w:r w:rsidRPr="002C2E6D">
        <w:rPr>
          <w:sz w:val="24"/>
          <w:szCs w:val="24"/>
        </w:rPr>
        <w:lastRenderedPageBreak/>
        <w:t>importanti per il paese ma notevolmente distanziate dalle due di testa come Firenze (transazioni per 225 milioni) legate quasi esclusivamente al passaggio di mano di grandi alberghi, Bologna (105 milion</w:t>
      </w:r>
      <w:r w:rsidR="002C2E6D">
        <w:rPr>
          <w:sz w:val="24"/>
          <w:szCs w:val="24"/>
        </w:rPr>
        <w:t>i) e Torino (101 milioni) (fig. 35</w:t>
      </w:r>
      <w:r w:rsidRPr="002C2E6D">
        <w:rPr>
          <w:sz w:val="24"/>
          <w:szCs w:val="24"/>
        </w:rPr>
        <w:t>)</w:t>
      </w:r>
      <w:r w:rsidR="002C2E6D">
        <w:rPr>
          <w:sz w:val="24"/>
          <w:szCs w:val="24"/>
        </w:rPr>
        <w:t>.</w:t>
      </w:r>
    </w:p>
    <w:p w:rsidR="002C2E6D" w:rsidRPr="002C2E6D" w:rsidRDefault="002C2E6D" w:rsidP="002C2E6D">
      <w:pPr>
        <w:pStyle w:val="Titolotabella"/>
      </w:pPr>
      <w:r>
        <w:t>Fig. 35 Articolazione territoriale delle transazioni commerciali nel 2015</w:t>
      </w:r>
      <w:r w:rsidR="001917EA">
        <w:t xml:space="preserve"> (val.%)</w:t>
      </w:r>
    </w:p>
    <w:p w:rsidR="002C2E6D" w:rsidRDefault="002C2E6D" w:rsidP="003D6CF4">
      <w:pPr>
        <w:jc w:val="both"/>
        <w:rPr>
          <w:sz w:val="24"/>
          <w:szCs w:val="24"/>
        </w:rPr>
      </w:pPr>
      <w:r>
        <w:rPr>
          <w:noProof/>
          <w:lang w:eastAsia="it-IT"/>
        </w:rPr>
        <w:drawing>
          <wp:inline distT="0" distB="0" distL="0" distR="0" wp14:anchorId="2E8CEC65" wp14:editId="6F55B229">
            <wp:extent cx="5400040" cy="3150235"/>
            <wp:effectExtent l="0" t="0" r="10160" b="12065"/>
            <wp:docPr id="450" name="Grafico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C2E6D" w:rsidRPr="002C2E6D" w:rsidRDefault="002C2E6D" w:rsidP="002C2E6D">
      <w:pPr>
        <w:pStyle w:val="StileFonte"/>
      </w:pPr>
      <w:r>
        <w:t>Fonte: Elaborazione R</w:t>
      </w:r>
      <w:r w:rsidR="00546C5D">
        <w:t>UR</w:t>
      </w:r>
      <w:r>
        <w:t xml:space="preserve"> su dati Italy Commercial Real Estate,</w:t>
      </w:r>
      <w:r w:rsidR="00546C5D">
        <w:t xml:space="preserve"> </w:t>
      </w:r>
      <w:r>
        <w:t>2016</w:t>
      </w:r>
    </w:p>
    <w:p w:rsidR="003D6CF4" w:rsidRPr="002C2E6D" w:rsidRDefault="003D6CF4" w:rsidP="00CF4D51">
      <w:pPr>
        <w:spacing w:before="120" w:after="120"/>
        <w:jc w:val="both"/>
        <w:rPr>
          <w:sz w:val="24"/>
          <w:szCs w:val="24"/>
        </w:rPr>
      </w:pPr>
      <w:r w:rsidRPr="002C2E6D">
        <w:rPr>
          <w:sz w:val="24"/>
          <w:szCs w:val="24"/>
        </w:rPr>
        <w:t>La stessa attrattività delle nostre città per gli investitori internazionali risulta particolarmente circoscritta alla so</w:t>
      </w:r>
      <w:r w:rsidR="002C2E6D">
        <w:rPr>
          <w:sz w:val="24"/>
          <w:szCs w:val="24"/>
        </w:rPr>
        <w:t xml:space="preserve">la Milano che si colloca all’8° </w:t>
      </w:r>
      <w:r w:rsidRPr="002C2E6D">
        <w:rPr>
          <w:sz w:val="24"/>
          <w:szCs w:val="24"/>
        </w:rPr>
        <w:t>posto nelle prospettive di investimento per il 2016, secondo il Rapporto “Emerging Trend Europe”, mentre Roma si posiziona al 25° posto su 28.</w:t>
      </w:r>
      <w:r w:rsidR="002C2E6D">
        <w:rPr>
          <w:sz w:val="24"/>
          <w:szCs w:val="24"/>
        </w:rPr>
        <w:t xml:space="preserve"> </w:t>
      </w:r>
      <w:r w:rsidRPr="002C2E6D">
        <w:rPr>
          <w:sz w:val="24"/>
          <w:szCs w:val="24"/>
        </w:rPr>
        <w:t>Tuttavia, gli analisti prevedono nell’anno in corso un interessante rimbalzo nell’ammontare di investimenti e anche nelle rivalutazioni del capitale investito. Per questi due parametri Milano balza al secondo posto in Europa dopo Berlino, e anche Roma migliora</w:t>
      </w:r>
      <w:r w:rsidR="000D608C">
        <w:rPr>
          <w:sz w:val="24"/>
          <w:szCs w:val="24"/>
        </w:rPr>
        <w:t xml:space="preserve"> notevolmente la sua posizione</w:t>
      </w:r>
      <w:r w:rsidRPr="002C2E6D">
        <w:rPr>
          <w:sz w:val="24"/>
          <w:szCs w:val="24"/>
        </w:rPr>
        <w:t xml:space="preserve"> aggiudicandosi la nona posizione. </w:t>
      </w:r>
    </w:p>
    <w:p w:rsidR="003D6CF4" w:rsidRPr="002C2E6D" w:rsidRDefault="003D6CF4" w:rsidP="00CF4D51">
      <w:pPr>
        <w:spacing w:before="120" w:after="120"/>
        <w:jc w:val="both"/>
        <w:rPr>
          <w:sz w:val="24"/>
          <w:szCs w:val="24"/>
        </w:rPr>
      </w:pPr>
      <w:r w:rsidRPr="002C2E6D">
        <w:rPr>
          <w:sz w:val="24"/>
          <w:szCs w:val="24"/>
        </w:rPr>
        <w:t>L’analisi effettuata dalla R</w:t>
      </w:r>
      <w:r w:rsidR="00546C5D">
        <w:rPr>
          <w:sz w:val="24"/>
          <w:szCs w:val="24"/>
        </w:rPr>
        <w:t>UR</w:t>
      </w:r>
      <w:r w:rsidRPr="002C2E6D">
        <w:rPr>
          <w:sz w:val="24"/>
          <w:szCs w:val="24"/>
        </w:rPr>
        <w:t xml:space="preserve"> su </w:t>
      </w:r>
      <w:r w:rsidRPr="002C2E6D">
        <w:rPr>
          <w:b/>
          <w:sz w:val="24"/>
          <w:szCs w:val="24"/>
        </w:rPr>
        <w:t>50 realtà territoriali italiane</w:t>
      </w:r>
      <w:r w:rsidRPr="002C2E6D">
        <w:rPr>
          <w:sz w:val="24"/>
          <w:szCs w:val="24"/>
        </w:rPr>
        <w:t xml:space="preserve"> restituisce un quadro certamente più articolato e per certi versi inedito.</w:t>
      </w:r>
    </w:p>
    <w:p w:rsidR="003D6CF4" w:rsidRPr="002C2E6D" w:rsidRDefault="003D6CF4" w:rsidP="00CF4D51">
      <w:pPr>
        <w:spacing w:before="120" w:after="120"/>
        <w:jc w:val="both"/>
        <w:rPr>
          <w:sz w:val="24"/>
          <w:szCs w:val="24"/>
        </w:rPr>
      </w:pPr>
      <w:r w:rsidRPr="002C2E6D">
        <w:rPr>
          <w:sz w:val="24"/>
          <w:szCs w:val="24"/>
        </w:rPr>
        <w:t xml:space="preserve">Innanzitutto, si è proceduto ad attribuire a ciascuna area un punteggio (variabile da 0 a 3), quindi tale punteggio è stato riportato in centesimi. Pertanto, la massima </w:t>
      </w:r>
      <w:r w:rsidRPr="002C2E6D">
        <w:rPr>
          <w:sz w:val="24"/>
          <w:szCs w:val="24"/>
        </w:rPr>
        <w:lastRenderedPageBreak/>
        <w:t xml:space="preserve">dinamicità corrisponderebbe a un valore 100, la minima a 0. Più alto il punteggio, maggiore è la </w:t>
      </w:r>
      <w:r w:rsidRPr="002C2E6D">
        <w:rPr>
          <w:b/>
          <w:sz w:val="24"/>
          <w:szCs w:val="24"/>
        </w:rPr>
        <w:t>prospettiva di dinamicità di quel territorio nell’ambito del real estate.</w:t>
      </w:r>
      <w:r w:rsidR="002C2E6D">
        <w:rPr>
          <w:sz w:val="24"/>
          <w:szCs w:val="24"/>
        </w:rPr>
        <w:t xml:space="preserve">  </w:t>
      </w:r>
    </w:p>
    <w:p w:rsidR="003D6CF4" w:rsidRPr="002C2E6D" w:rsidRDefault="003D6CF4" w:rsidP="00CF4D51">
      <w:pPr>
        <w:spacing w:before="120" w:after="120"/>
        <w:jc w:val="both"/>
        <w:rPr>
          <w:sz w:val="24"/>
          <w:szCs w:val="24"/>
        </w:rPr>
      </w:pPr>
      <w:r w:rsidRPr="002C2E6D">
        <w:rPr>
          <w:sz w:val="24"/>
          <w:szCs w:val="24"/>
        </w:rPr>
        <w:t>Le unità osservate sono state stratificate in cinque fasce:</w:t>
      </w:r>
    </w:p>
    <w:p w:rsidR="003D6CF4" w:rsidRPr="00D02FE2" w:rsidRDefault="003D6CF4" w:rsidP="00D02FE2">
      <w:pPr>
        <w:pStyle w:val="Paragrafoelenco"/>
        <w:numPr>
          <w:ilvl w:val="0"/>
          <w:numId w:val="7"/>
        </w:numPr>
        <w:spacing w:before="120" w:after="120"/>
        <w:jc w:val="both"/>
        <w:rPr>
          <w:sz w:val="24"/>
        </w:rPr>
      </w:pPr>
      <w:r w:rsidRPr="00D02FE2">
        <w:rPr>
          <w:sz w:val="24"/>
        </w:rPr>
        <w:t xml:space="preserve">I </w:t>
      </w:r>
      <w:r w:rsidRPr="00D02FE2">
        <w:rPr>
          <w:b/>
          <w:sz w:val="24"/>
        </w:rPr>
        <w:t>diamanti</w:t>
      </w:r>
      <w:r w:rsidRPr="00D02FE2">
        <w:rPr>
          <w:sz w:val="24"/>
        </w:rPr>
        <w:t xml:space="preserve"> realtà territoriali con punteggio superiore a 90/100</w:t>
      </w:r>
    </w:p>
    <w:p w:rsidR="003D6CF4" w:rsidRPr="00D02FE2" w:rsidRDefault="003D6CF4" w:rsidP="00D02FE2">
      <w:pPr>
        <w:pStyle w:val="Paragrafoelenco"/>
        <w:numPr>
          <w:ilvl w:val="0"/>
          <w:numId w:val="7"/>
        </w:numPr>
        <w:spacing w:before="120" w:after="120"/>
        <w:jc w:val="both"/>
        <w:rPr>
          <w:sz w:val="24"/>
        </w:rPr>
      </w:pPr>
      <w:r w:rsidRPr="00D02FE2">
        <w:rPr>
          <w:sz w:val="24"/>
        </w:rPr>
        <w:t xml:space="preserve">I </w:t>
      </w:r>
      <w:r w:rsidRPr="00D02FE2">
        <w:rPr>
          <w:b/>
          <w:sz w:val="24"/>
        </w:rPr>
        <w:t>topazi</w:t>
      </w:r>
      <w:r w:rsidRPr="00D02FE2">
        <w:rPr>
          <w:sz w:val="24"/>
        </w:rPr>
        <w:t xml:space="preserve"> realtà territoriali con punteggio compreso fra 75/100 e 90/100</w:t>
      </w:r>
    </w:p>
    <w:p w:rsidR="003D6CF4" w:rsidRPr="00D02FE2" w:rsidRDefault="003D6CF4" w:rsidP="00D02FE2">
      <w:pPr>
        <w:pStyle w:val="Paragrafoelenco"/>
        <w:numPr>
          <w:ilvl w:val="0"/>
          <w:numId w:val="7"/>
        </w:numPr>
        <w:spacing w:before="120" w:after="120"/>
        <w:jc w:val="both"/>
        <w:rPr>
          <w:sz w:val="24"/>
        </w:rPr>
      </w:pPr>
      <w:r w:rsidRPr="00D02FE2">
        <w:rPr>
          <w:sz w:val="24"/>
        </w:rPr>
        <w:t xml:space="preserve">Gli </w:t>
      </w:r>
      <w:r w:rsidRPr="00D02FE2">
        <w:rPr>
          <w:b/>
          <w:sz w:val="24"/>
        </w:rPr>
        <w:t>smeraldi</w:t>
      </w:r>
      <w:r w:rsidRPr="00D02FE2">
        <w:rPr>
          <w:sz w:val="24"/>
        </w:rPr>
        <w:t xml:space="preserve"> realtà territoriali con punteggio compreso fra 60/100 e 75/100</w:t>
      </w:r>
    </w:p>
    <w:p w:rsidR="003D6CF4" w:rsidRPr="00D02FE2" w:rsidRDefault="003D6CF4" w:rsidP="00D02FE2">
      <w:pPr>
        <w:pStyle w:val="Paragrafoelenco"/>
        <w:numPr>
          <w:ilvl w:val="0"/>
          <w:numId w:val="7"/>
        </w:numPr>
        <w:spacing w:before="120" w:after="120"/>
        <w:jc w:val="both"/>
        <w:rPr>
          <w:sz w:val="24"/>
        </w:rPr>
      </w:pPr>
      <w:r w:rsidRPr="00D02FE2">
        <w:rPr>
          <w:sz w:val="24"/>
        </w:rPr>
        <w:t xml:space="preserve">Gli </w:t>
      </w:r>
      <w:r w:rsidRPr="00D02FE2">
        <w:rPr>
          <w:b/>
          <w:sz w:val="24"/>
        </w:rPr>
        <w:t>zinchi</w:t>
      </w:r>
      <w:r w:rsidRPr="00D02FE2">
        <w:rPr>
          <w:sz w:val="24"/>
        </w:rPr>
        <w:t xml:space="preserve"> realtà territoriali con punteggio compreso fra 50/100 e 60/100</w:t>
      </w:r>
    </w:p>
    <w:p w:rsidR="003D6CF4" w:rsidRPr="00D02FE2" w:rsidRDefault="003D6CF4" w:rsidP="00D02FE2">
      <w:pPr>
        <w:pStyle w:val="Paragrafoelenco"/>
        <w:numPr>
          <w:ilvl w:val="0"/>
          <w:numId w:val="7"/>
        </w:numPr>
        <w:spacing w:before="120" w:after="120"/>
        <w:jc w:val="both"/>
        <w:rPr>
          <w:sz w:val="24"/>
        </w:rPr>
      </w:pPr>
      <w:r w:rsidRPr="00D02FE2">
        <w:rPr>
          <w:sz w:val="24"/>
        </w:rPr>
        <w:t xml:space="preserve">I </w:t>
      </w:r>
      <w:r w:rsidRPr="00D02FE2">
        <w:rPr>
          <w:b/>
          <w:sz w:val="24"/>
        </w:rPr>
        <w:t>piombi</w:t>
      </w:r>
      <w:r w:rsidRPr="00D02FE2">
        <w:rPr>
          <w:sz w:val="24"/>
        </w:rPr>
        <w:t xml:space="preserve"> realtà territoriali con punteggio inferiore ai 50/100</w:t>
      </w:r>
    </w:p>
    <w:p w:rsidR="003D6CF4" w:rsidRPr="002C2E6D" w:rsidRDefault="003D6CF4" w:rsidP="00CF4D51">
      <w:pPr>
        <w:spacing w:before="120" w:after="120"/>
        <w:jc w:val="both"/>
        <w:rPr>
          <w:sz w:val="24"/>
          <w:szCs w:val="24"/>
        </w:rPr>
      </w:pPr>
      <w:r w:rsidRPr="002C2E6D">
        <w:rPr>
          <w:sz w:val="24"/>
          <w:szCs w:val="24"/>
        </w:rPr>
        <w:t>Il quadro d’insieme vede ricomprese nelle prime due fasce, quelle che presentano le maggiori aspettative positive, ben 21 mercati su 50.</w:t>
      </w:r>
    </w:p>
    <w:p w:rsidR="003D6CF4" w:rsidRPr="002C2E6D" w:rsidRDefault="003D6CF4" w:rsidP="00CF4D51">
      <w:pPr>
        <w:spacing w:before="120" w:after="120"/>
        <w:jc w:val="both"/>
        <w:rPr>
          <w:sz w:val="24"/>
          <w:szCs w:val="24"/>
        </w:rPr>
      </w:pPr>
      <w:r w:rsidRPr="002C2E6D">
        <w:rPr>
          <w:sz w:val="24"/>
          <w:szCs w:val="24"/>
        </w:rPr>
        <w:t>Fra questi ambiti, solo sei sono Città Metropolitane, secondo quanto previsto dal nuovo ordinamento costituzionale, in prevalenza si tratta di città intermedie caratterizzate da una forte identità e da un elevato livello qualitativo.</w:t>
      </w:r>
    </w:p>
    <w:p w:rsidR="003D6CF4" w:rsidRPr="002C2E6D" w:rsidRDefault="003D6CF4" w:rsidP="00CF4D51">
      <w:pPr>
        <w:spacing w:before="120" w:after="120"/>
        <w:jc w:val="both"/>
        <w:rPr>
          <w:color w:val="FF0000"/>
          <w:sz w:val="24"/>
          <w:szCs w:val="24"/>
        </w:rPr>
      </w:pPr>
      <w:r w:rsidRPr="002C2E6D">
        <w:rPr>
          <w:sz w:val="24"/>
          <w:szCs w:val="24"/>
        </w:rPr>
        <w:t>In particolare, di seguito vengono descri</w:t>
      </w:r>
      <w:r w:rsidR="000D608C">
        <w:rPr>
          <w:sz w:val="24"/>
          <w:szCs w:val="24"/>
        </w:rPr>
        <w:t>tte le cinque fasce individuate</w:t>
      </w:r>
      <w:r w:rsidRPr="002C2E6D">
        <w:rPr>
          <w:sz w:val="24"/>
          <w:szCs w:val="24"/>
        </w:rPr>
        <w:t xml:space="preserve"> </w:t>
      </w:r>
      <w:r w:rsidR="00956B41" w:rsidRPr="002C2E6D">
        <w:rPr>
          <w:sz w:val="24"/>
          <w:szCs w:val="24"/>
        </w:rPr>
        <w:t>(fig. 36)</w:t>
      </w:r>
      <w:r w:rsidR="000D608C">
        <w:rPr>
          <w:sz w:val="24"/>
          <w:szCs w:val="24"/>
        </w:rPr>
        <w:t>:</w:t>
      </w:r>
    </w:p>
    <w:p w:rsidR="00D02FE2" w:rsidRDefault="003D6CF4" w:rsidP="00D02FE2">
      <w:pPr>
        <w:pStyle w:val="Paragrafoelenco"/>
        <w:numPr>
          <w:ilvl w:val="0"/>
          <w:numId w:val="24"/>
        </w:numPr>
        <w:spacing w:before="120" w:after="120"/>
        <w:ind w:left="709" w:hanging="284"/>
        <w:jc w:val="both"/>
        <w:rPr>
          <w:sz w:val="24"/>
          <w:szCs w:val="24"/>
        </w:rPr>
      </w:pPr>
      <w:r w:rsidRPr="002C2E6D">
        <w:rPr>
          <w:b/>
          <w:i/>
          <w:color w:val="ED7D31" w:themeColor="accent2"/>
          <w:sz w:val="24"/>
          <w:szCs w:val="24"/>
          <w:u w:val="single"/>
        </w:rPr>
        <w:t>Diamanti</w:t>
      </w:r>
      <w:r w:rsidRPr="002C2E6D">
        <w:rPr>
          <w:i/>
          <w:sz w:val="24"/>
          <w:szCs w:val="24"/>
        </w:rPr>
        <w:t>:</w:t>
      </w:r>
      <w:r w:rsidR="00D02FE2">
        <w:rPr>
          <w:sz w:val="24"/>
          <w:szCs w:val="24"/>
        </w:rPr>
        <w:t xml:space="preserve"> la prima fascia d’</w:t>
      </w:r>
      <w:r w:rsidRPr="002C2E6D">
        <w:rPr>
          <w:sz w:val="24"/>
          <w:szCs w:val="24"/>
        </w:rPr>
        <w:t xml:space="preserve">interesse immobiliare, con punteggio di 92/100, comprende 8 territori fra cui </w:t>
      </w:r>
      <w:r w:rsidRPr="002C2E6D">
        <w:rPr>
          <w:b/>
          <w:sz w:val="24"/>
          <w:szCs w:val="24"/>
        </w:rPr>
        <w:t>Roma</w:t>
      </w:r>
      <w:r w:rsidRPr="002C2E6D">
        <w:rPr>
          <w:sz w:val="24"/>
          <w:szCs w:val="24"/>
        </w:rPr>
        <w:t xml:space="preserve"> e </w:t>
      </w:r>
      <w:r w:rsidRPr="002C2E6D">
        <w:rPr>
          <w:b/>
          <w:sz w:val="24"/>
          <w:szCs w:val="24"/>
        </w:rPr>
        <w:t xml:space="preserve">Milano </w:t>
      </w:r>
      <w:r w:rsidRPr="002C2E6D">
        <w:rPr>
          <w:sz w:val="24"/>
          <w:szCs w:val="24"/>
        </w:rPr>
        <w:t xml:space="preserve">quali città metropolitane più internazionali d’Italia, ma anche una realtà in grande ascesa come </w:t>
      </w:r>
      <w:r w:rsidRPr="002C2E6D">
        <w:rPr>
          <w:b/>
          <w:sz w:val="24"/>
          <w:szCs w:val="24"/>
        </w:rPr>
        <w:t>Verona</w:t>
      </w:r>
      <w:r w:rsidRPr="002C2E6D">
        <w:rPr>
          <w:sz w:val="24"/>
          <w:szCs w:val="24"/>
        </w:rPr>
        <w:t xml:space="preserve"> posta al centro delle due direttrici europee principali (quella Ovest/Est verso Francia e UK, e quella Nord/Sud verso Germania e Centro Europa). Interessanti anche le altre due città metropolitane ricomprese nel gruppo che, per ragioni diverse, sembrano registrare una ripresa: </w:t>
      </w:r>
      <w:r w:rsidRPr="002C2E6D">
        <w:rPr>
          <w:b/>
          <w:sz w:val="24"/>
          <w:szCs w:val="24"/>
        </w:rPr>
        <w:t>Genova</w:t>
      </w:r>
      <w:r w:rsidRPr="002C2E6D">
        <w:rPr>
          <w:sz w:val="24"/>
          <w:szCs w:val="24"/>
        </w:rPr>
        <w:t xml:space="preserve"> e </w:t>
      </w:r>
      <w:r w:rsidRPr="002C2E6D">
        <w:rPr>
          <w:b/>
          <w:sz w:val="24"/>
          <w:szCs w:val="24"/>
        </w:rPr>
        <w:t xml:space="preserve">Bari. </w:t>
      </w:r>
      <w:r w:rsidRPr="002C2E6D">
        <w:rPr>
          <w:sz w:val="24"/>
          <w:szCs w:val="24"/>
        </w:rPr>
        <w:t xml:space="preserve">Si tratta di due città portuali, in una fase interessante per la logistica marittima e per le crociere. Inoltre, a Genova è decollato l’IIT, l’Istituto Italiano di Tecnologia, un nuovo riferimento, alternativo alla crisi della grande industria pesante genovese. Bari, è capitale di una regione dinamica che associa al balzo in avanti del turismo, un interessante tessuto di imprese di medio alta tecnologia. Fra i centri più piccoli ai primi posti si colloca </w:t>
      </w:r>
      <w:r w:rsidRPr="002C2E6D">
        <w:rPr>
          <w:b/>
          <w:sz w:val="24"/>
          <w:szCs w:val="24"/>
        </w:rPr>
        <w:t xml:space="preserve">Aosta, </w:t>
      </w:r>
      <w:r w:rsidRPr="002C2E6D">
        <w:rPr>
          <w:sz w:val="24"/>
          <w:szCs w:val="24"/>
        </w:rPr>
        <w:t xml:space="preserve">capitale di una micro-regione ma ricca e attrattiva, e due città siciliane come </w:t>
      </w:r>
      <w:r w:rsidRPr="002C2E6D">
        <w:rPr>
          <w:b/>
          <w:sz w:val="24"/>
          <w:szCs w:val="24"/>
        </w:rPr>
        <w:t>Messina</w:t>
      </w:r>
      <w:r w:rsidRPr="002C2E6D">
        <w:rPr>
          <w:sz w:val="24"/>
          <w:szCs w:val="24"/>
        </w:rPr>
        <w:t xml:space="preserve">, in fase di recupero istituzionale, e </w:t>
      </w:r>
      <w:r w:rsidRPr="002C2E6D">
        <w:rPr>
          <w:b/>
          <w:sz w:val="24"/>
          <w:szCs w:val="24"/>
        </w:rPr>
        <w:t xml:space="preserve">Siracusa, </w:t>
      </w:r>
      <w:r w:rsidRPr="002C2E6D">
        <w:rPr>
          <w:sz w:val="24"/>
          <w:szCs w:val="24"/>
        </w:rPr>
        <w:t>una realtà fra le più interessanti del Mezzogiorno;</w:t>
      </w:r>
    </w:p>
    <w:p w:rsidR="00D02FE2" w:rsidRPr="00D02FE2" w:rsidRDefault="003D6CF4" w:rsidP="00D02FE2">
      <w:pPr>
        <w:pStyle w:val="Paragrafoelenco"/>
        <w:numPr>
          <w:ilvl w:val="0"/>
          <w:numId w:val="24"/>
        </w:numPr>
        <w:spacing w:before="120" w:after="120"/>
        <w:ind w:left="709" w:hanging="284"/>
        <w:jc w:val="both"/>
        <w:rPr>
          <w:sz w:val="24"/>
          <w:szCs w:val="24"/>
        </w:rPr>
      </w:pPr>
      <w:r w:rsidRPr="00D02FE2">
        <w:rPr>
          <w:b/>
          <w:i/>
          <w:color w:val="FFC000"/>
          <w:sz w:val="24"/>
          <w:szCs w:val="24"/>
          <w:u w:val="single"/>
        </w:rPr>
        <w:t>Topazi:</w:t>
      </w:r>
      <w:r w:rsidRPr="00D02FE2">
        <w:rPr>
          <w:sz w:val="24"/>
          <w:szCs w:val="24"/>
        </w:rPr>
        <w:t xml:space="preserve"> comprende 8 realtà urbane con punteggio di 83/100 fra cui spicca </w:t>
      </w:r>
      <w:r w:rsidRPr="00D02FE2">
        <w:rPr>
          <w:b/>
          <w:sz w:val="24"/>
          <w:szCs w:val="24"/>
        </w:rPr>
        <w:t xml:space="preserve">Firenze </w:t>
      </w:r>
      <w:r w:rsidRPr="00D02FE2">
        <w:rPr>
          <w:sz w:val="24"/>
          <w:szCs w:val="24"/>
        </w:rPr>
        <w:t xml:space="preserve">sempre più capitale di un territorio ampio e composito, quella valle dell’Arno che assomma sistemi locali d’impresa, ricerca e tecnologia, un turismo di alta qualità e una diffusa attrattività per cultura e ambiente. Con lo stesso punteggio si classificano </w:t>
      </w:r>
      <w:r w:rsidRPr="00D02FE2">
        <w:rPr>
          <w:b/>
          <w:sz w:val="24"/>
          <w:szCs w:val="24"/>
        </w:rPr>
        <w:t>Perugia,</w:t>
      </w:r>
      <w:r w:rsidRPr="00D02FE2">
        <w:rPr>
          <w:sz w:val="24"/>
          <w:szCs w:val="24"/>
        </w:rPr>
        <w:t xml:space="preserve"> polo di riferimento del Centro Italia e </w:t>
      </w:r>
      <w:r w:rsidRPr="00D02FE2">
        <w:rPr>
          <w:b/>
          <w:sz w:val="24"/>
          <w:szCs w:val="24"/>
        </w:rPr>
        <w:lastRenderedPageBreak/>
        <w:t>Pescara</w:t>
      </w:r>
      <w:r w:rsidRPr="00D02FE2">
        <w:rPr>
          <w:sz w:val="24"/>
          <w:szCs w:val="24"/>
        </w:rPr>
        <w:t xml:space="preserve"> caposaldo abruzzese della Linea Adriatica, in cui è ricompresa anche </w:t>
      </w:r>
      <w:r w:rsidRPr="00D02FE2">
        <w:rPr>
          <w:b/>
          <w:sz w:val="24"/>
          <w:szCs w:val="24"/>
        </w:rPr>
        <w:t>Rimini,</w:t>
      </w:r>
      <w:r w:rsidRPr="00D02FE2">
        <w:rPr>
          <w:sz w:val="24"/>
          <w:szCs w:val="24"/>
        </w:rPr>
        <w:t xml:space="preserve"> ossia la provincia d’Italia più organizzata per il </w:t>
      </w:r>
      <w:r w:rsidRPr="00D02FE2">
        <w:rPr>
          <w:i/>
          <w:sz w:val="24"/>
          <w:szCs w:val="24"/>
        </w:rPr>
        <w:t>leisure</w:t>
      </w:r>
      <w:r w:rsidRPr="00D02FE2">
        <w:rPr>
          <w:sz w:val="24"/>
          <w:szCs w:val="24"/>
        </w:rPr>
        <w:t xml:space="preserve">. Un mix di antica tradizione industriale, di elevata qualità della vita e di localizzazione transfrontaliera caratterizza </w:t>
      </w:r>
      <w:r w:rsidRPr="00D02FE2">
        <w:rPr>
          <w:b/>
          <w:sz w:val="24"/>
          <w:szCs w:val="24"/>
        </w:rPr>
        <w:t>Como</w:t>
      </w:r>
      <w:r w:rsidRPr="00D02FE2">
        <w:rPr>
          <w:sz w:val="24"/>
          <w:szCs w:val="24"/>
        </w:rPr>
        <w:t xml:space="preserve">, mentre </w:t>
      </w:r>
      <w:r w:rsidRPr="00D02FE2">
        <w:rPr>
          <w:b/>
          <w:sz w:val="24"/>
          <w:szCs w:val="24"/>
        </w:rPr>
        <w:t>Savona</w:t>
      </w:r>
      <w:r w:rsidRPr="00D02FE2">
        <w:rPr>
          <w:sz w:val="24"/>
          <w:szCs w:val="24"/>
        </w:rPr>
        <w:t xml:space="preserve"> è presente fra i mercati potenziali in ascesa per la competitività del suo porto. Per il Mezzogiorno appartengono a questa categoria </w:t>
      </w:r>
      <w:r w:rsidRPr="00D02FE2">
        <w:rPr>
          <w:b/>
          <w:sz w:val="24"/>
          <w:szCs w:val="24"/>
        </w:rPr>
        <w:t>Lecce</w:t>
      </w:r>
      <w:r w:rsidRPr="00D02FE2">
        <w:rPr>
          <w:sz w:val="24"/>
          <w:szCs w:val="24"/>
        </w:rPr>
        <w:t xml:space="preserve"> una delle più pregevoli città d’arte italiane e capitale del Salento, e </w:t>
      </w:r>
      <w:r w:rsidRPr="00D02FE2">
        <w:rPr>
          <w:b/>
          <w:sz w:val="24"/>
          <w:szCs w:val="24"/>
        </w:rPr>
        <w:t>Reggio Calabria</w:t>
      </w:r>
      <w:r w:rsidRPr="00D02FE2">
        <w:rPr>
          <w:sz w:val="24"/>
          <w:szCs w:val="24"/>
        </w:rPr>
        <w:t xml:space="preserve">. Con un punteggio appena inferiore pari a 75/100 si classifica un gruppo di 5 città eccellenti che a ragione occupano le prime posizioni, e il cui unico handicap è rappresentato dalle loro limitate dimensioni. Si tratta di </w:t>
      </w:r>
      <w:r w:rsidRPr="00D02FE2">
        <w:rPr>
          <w:b/>
          <w:sz w:val="24"/>
          <w:szCs w:val="24"/>
        </w:rPr>
        <w:t>Bolzano, Ferrara, Siena, Matera e Salerno.</w:t>
      </w:r>
    </w:p>
    <w:p w:rsidR="00D02FE2" w:rsidRDefault="003D6CF4" w:rsidP="00D02FE2">
      <w:pPr>
        <w:pStyle w:val="Paragrafoelenco"/>
        <w:numPr>
          <w:ilvl w:val="0"/>
          <w:numId w:val="24"/>
        </w:numPr>
        <w:spacing w:before="120" w:after="120"/>
        <w:ind w:left="709" w:hanging="284"/>
        <w:jc w:val="both"/>
        <w:rPr>
          <w:sz w:val="24"/>
          <w:szCs w:val="24"/>
        </w:rPr>
      </w:pPr>
      <w:r w:rsidRPr="00D02FE2">
        <w:rPr>
          <w:b/>
          <w:i/>
          <w:color w:val="00B050"/>
          <w:sz w:val="24"/>
          <w:szCs w:val="24"/>
          <w:u w:val="single"/>
        </w:rPr>
        <w:t xml:space="preserve">Smeraldi </w:t>
      </w:r>
      <w:r w:rsidRPr="00D02FE2">
        <w:rPr>
          <w:sz w:val="24"/>
          <w:szCs w:val="24"/>
        </w:rPr>
        <w:t xml:space="preserve">comprende 9 territori con un punteggio di 67/100 fra cui spicca Bologna che, pur presentando un’eccellenza in diversi settori industriali (packaging, Ducati, Lamborghini, Coop, Conad, Unipol, Fiera), non riesce efficacemente a integrarsi col resto della regione e soprattutto ha difficoltà a fare sinergia al suo interno. Oltre all’altra città metropolitana di </w:t>
      </w:r>
      <w:r w:rsidRPr="00D02FE2">
        <w:rPr>
          <w:b/>
          <w:sz w:val="24"/>
          <w:szCs w:val="24"/>
        </w:rPr>
        <w:t>Catania</w:t>
      </w:r>
      <w:r w:rsidRPr="00D02FE2">
        <w:rPr>
          <w:sz w:val="24"/>
          <w:szCs w:val="24"/>
        </w:rPr>
        <w:t xml:space="preserve"> appartengono a questa categoria solidissime realtà urbane allo stato, però, non particolarmente dinamiche come </w:t>
      </w:r>
      <w:r w:rsidRPr="00D02FE2">
        <w:rPr>
          <w:b/>
          <w:sz w:val="24"/>
          <w:szCs w:val="24"/>
        </w:rPr>
        <w:t>Bergamo</w:t>
      </w:r>
      <w:r w:rsidRPr="00D02FE2">
        <w:rPr>
          <w:sz w:val="24"/>
          <w:szCs w:val="24"/>
        </w:rPr>
        <w:t xml:space="preserve"> o </w:t>
      </w:r>
      <w:r w:rsidRPr="00D02FE2">
        <w:rPr>
          <w:b/>
          <w:sz w:val="24"/>
          <w:szCs w:val="24"/>
        </w:rPr>
        <w:t>Padova</w:t>
      </w:r>
      <w:r w:rsidRPr="00D02FE2">
        <w:rPr>
          <w:sz w:val="24"/>
          <w:szCs w:val="24"/>
        </w:rPr>
        <w:t xml:space="preserve">.  </w:t>
      </w:r>
    </w:p>
    <w:p w:rsidR="00D02FE2" w:rsidRPr="00D02FE2" w:rsidRDefault="003D6CF4" w:rsidP="00D02FE2">
      <w:pPr>
        <w:pStyle w:val="Paragrafoelenco"/>
        <w:numPr>
          <w:ilvl w:val="0"/>
          <w:numId w:val="24"/>
        </w:numPr>
        <w:spacing w:before="120" w:after="120"/>
        <w:ind w:left="709" w:hanging="284"/>
        <w:jc w:val="both"/>
        <w:rPr>
          <w:sz w:val="24"/>
          <w:szCs w:val="24"/>
        </w:rPr>
      </w:pPr>
      <w:r w:rsidRPr="00D02FE2">
        <w:rPr>
          <w:b/>
          <w:i/>
          <w:color w:val="2E74B5" w:themeColor="accent1" w:themeShade="BF"/>
          <w:sz w:val="24"/>
          <w:szCs w:val="24"/>
          <w:u w:val="single"/>
        </w:rPr>
        <w:t xml:space="preserve">Zinchi </w:t>
      </w:r>
      <w:r w:rsidRPr="00D02FE2">
        <w:rPr>
          <w:color w:val="000000" w:themeColor="text1"/>
          <w:sz w:val="24"/>
          <w:szCs w:val="24"/>
        </w:rPr>
        <w:t xml:space="preserve">sono mercati da considerarsi meno solidi dei precedenti. Con 58/100 si classificano 6 territori fra cui </w:t>
      </w:r>
      <w:r w:rsidRPr="00D02FE2">
        <w:rPr>
          <w:b/>
          <w:color w:val="000000" w:themeColor="text1"/>
          <w:sz w:val="24"/>
          <w:szCs w:val="24"/>
        </w:rPr>
        <w:t>Torino</w:t>
      </w:r>
      <w:r w:rsidRPr="00D02FE2">
        <w:rPr>
          <w:color w:val="000000" w:themeColor="text1"/>
          <w:sz w:val="24"/>
          <w:szCs w:val="24"/>
        </w:rPr>
        <w:t xml:space="preserve"> e </w:t>
      </w:r>
      <w:r w:rsidRPr="00D02FE2">
        <w:rPr>
          <w:b/>
          <w:color w:val="000000" w:themeColor="text1"/>
          <w:sz w:val="24"/>
          <w:szCs w:val="24"/>
        </w:rPr>
        <w:t>Palermo</w:t>
      </w:r>
      <w:r w:rsidRPr="00D02FE2">
        <w:rPr>
          <w:color w:val="000000" w:themeColor="text1"/>
          <w:sz w:val="24"/>
          <w:szCs w:val="24"/>
        </w:rPr>
        <w:t xml:space="preserve">, con 50/100 altri 9 fra cui primeggiano </w:t>
      </w:r>
      <w:r w:rsidRPr="00D02FE2">
        <w:rPr>
          <w:b/>
          <w:color w:val="000000" w:themeColor="text1"/>
          <w:sz w:val="24"/>
          <w:szCs w:val="24"/>
        </w:rPr>
        <w:t>Venezia</w:t>
      </w:r>
      <w:r w:rsidRPr="00D02FE2">
        <w:rPr>
          <w:color w:val="000000" w:themeColor="text1"/>
          <w:sz w:val="24"/>
          <w:szCs w:val="24"/>
        </w:rPr>
        <w:t xml:space="preserve"> e </w:t>
      </w:r>
      <w:r w:rsidRPr="00D02FE2">
        <w:rPr>
          <w:b/>
          <w:color w:val="000000" w:themeColor="text1"/>
          <w:sz w:val="24"/>
          <w:szCs w:val="24"/>
        </w:rPr>
        <w:t>Napoli.</w:t>
      </w:r>
      <w:r w:rsidRPr="00D02FE2">
        <w:rPr>
          <w:color w:val="000000" w:themeColor="text1"/>
          <w:sz w:val="24"/>
          <w:szCs w:val="24"/>
        </w:rPr>
        <w:t xml:space="preserve"> Bisogna ribadire che l’analisi effettuata opera una valutazione sulle prospettive di mercato e d’investimento, e non sul volume delle transazioni o sui valori di riferimento. Torino, ad esempio offre opportunità per il basso livello dei prezzi, ma ha difficoltà a alimentare la domanda. Venezia (centro storico) al contrario ha valori molto elevati, ma è sostanzialmente un mercato di unicità che non fa tendenza.</w:t>
      </w:r>
    </w:p>
    <w:p w:rsidR="003D6CF4" w:rsidRPr="00D02FE2" w:rsidRDefault="003D6CF4" w:rsidP="00D02FE2">
      <w:pPr>
        <w:pStyle w:val="Paragrafoelenco"/>
        <w:numPr>
          <w:ilvl w:val="0"/>
          <w:numId w:val="24"/>
        </w:numPr>
        <w:spacing w:before="120" w:after="120"/>
        <w:ind w:left="709" w:hanging="284"/>
        <w:jc w:val="both"/>
        <w:rPr>
          <w:sz w:val="24"/>
          <w:szCs w:val="24"/>
        </w:rPr>
      </w:pPr>
      <w:r w:rsidRPr="00D02FE2">
        <w:rPr>
          <w:b/>
          <w:i/>
          <w:color w:val="3B3838" w:themeColor="background2" w:themeShade="40"/>
          <w:sz w:val="24"/>
          <w:szCs w:val="24"/>
          <w:u w:val="single"/>
        </w:rPr>
        <w:t xml:space="preserve">Piombi </w:t>
      </w:r>
      <w:r w:rsidRPr="00D02FE2">
        <w:rPr>
          <w:sz w:val="24"/>
          <w:szCs w:val="24"/>
        </w:rPr>
        <w:t>la categoria con il rating più basso di 33/100, territori con il mercato in una fase di stanca, cui appartengono 5 realtà urbane.</w:t>
      </w:r>
    </w:p>
    <w:p w:rsidR="003D6CF4" w:rsidRPr="002C2E6D" w:rsidRDefault="003D6CF4" w:rsidP="00CF4D51">
      <w:pPr>
        <w:spacing w:before="120" w:after="120"/>
        <w:jc w:val="both"/>
        <w:rPr>
          <w:sz w:val="24"/>
          <w:szCs w:val="24"/>
        </w:rPr>
      </w:pPr>
      <w:r w:rsidRPr="002C2E6D">
        <w:rPr>
          <w:sz w:val="24"/>
          <w:szCs w:val="24"/>
        </w:rPr>
        <w:t>Nella prossima edizione del rapporto prevista per l’autunno 2016 si procederà ad approfondire la valutazione di prospettiva per il mercato immobiliare italiano, dando particolare rilevo alla sua granularità.</w:t>
      </w:r>
    </w:p>
    <w:p w:rsidR="006B0507" w:rsidRDefault="006B0507">
      <w:pPr>
        <w:rPr>
          <w:sz w:val="24"/>
          <w:szCs w:val="24"/>
        </w:rPr>
      </w:pPr>
      <w:r>
        <w:rPr>
          <w:sz w:val="24"/>
          <w:szCs w:val="24"/>
        </w:rPr>
        <w:br w:type="page"/>
      </w:r>
    </w:p>
    <w:p w:rsidR="0085475A" w:rsidRDefault="0085475A">
      <w:pPr>
        <w:rPr>
          <w:sz w:val="24"/>
          <w:szCs w:val="24"/>
        </w:rPr>
        <w:sectPr w:rsidR="0085475A" w:rsidSect="00A5467E">
          <w:headerReference w:type="even" r:id="rId44"/>
          <w:headerReference w:type="default" r:id="rId45"/>
          <w:footerReference w:type="even" r:id="rId46"/>
          <w:footerReference w:type="default" r:id="rId47"/>
          <w:headerReference w:type="first" r:id="rId48"/>
          <w:footerReference w:type="first" r:id="rId49"/>
          <w:pgSz w:w="11906" w:h="16838" w:code="9"/>
          <w:pgMar w:top="2835" w:right="1701" w:bottom="2268" w:left="1701" w:header="510" w:footer="680" w:gutter="0"/>
          <w:pgNumType w:start="0"/>
          <w:cols w:space="708"/>
          <w:titlePg/>
          <w:docGrid w:linePitch="360"/>
        </w:sectPr>
      </w:pPr>
    </w:p>
    <w:p w:rsidR="0085475A" w:rsidRDefault="0085475A">
      <w:pPr>
        <w:rPr>
          <w:sz w:val="24"/>
          <w:szCs w:val="24"/>
        </w:rPr>
      </w:pPr>
    </w:p>
    <w:p w:rsidR="005E5C2A" w:rsidRPr="006530A7" w:rsidRDefault="009D055A">
      <w:pPr>
        <w:rPr>
          <w:b/>
          <w:sz w:val="32"/>
          <w:szCs w:val="32"/>
        </w:rPr>
      </w:pPr>
      <w:r>
        <w:rPr>
          <w:b/>
          <w:lang w:eastAsia="it-IT"/>
        </w:rPr>
        <w:t>Fig.</w:t>
      </w:r>
      <w:r w:rsidR="00097AFE" w:rsidRPr="004673FF">
        <w:rPr>
          <w:b/>
          <w:lang w:eastAsia="it-IT"/>
        </w:rPr>
        <w:t>3</w:t>
      </w:r>
      <w:r w:rsidR="0014628E">
        <w:rPr>
          <w:b/>
          <w:lang w:eastAsia="it-IT"/>
        </w:rPr>
        <w:t>6</w:t>
      </w:r>
      <w:r w:rsidR="00097AFE" w:rsidRPr="004673FF">
        <w:rPr>
          <w:b/>
          <w:lang w:eastAsia="it-IT"/>
        </w:rPr>
        <w:t xml:space="preserve"> – Graduatoria provinciale del rating immobiliare</w:t>
      </w:r>
    </w:p>
    <w:tbl>
      <w:tblPr>
        <w:tblStyle w:val="Grigliatabella"/>
        <w:tblW w:w="0" w:type="auto"/>
        <w:tblLook w:val="04A0" w:firstRow="1" w:lastRow="0" w:firstColumn="1" w:lastColumn="0" w:noHBand="0" w:noVBand="1"/>
      </w:tblPr>
      <w:tblGrid>
        <w:gridCol w:w="442"/>
        <w:gridCol w:w="1345"/>
        <w:gridCol w:w="6340"/>
      </w:tblGrid>
      <w:tr w:rsidR="00B10E5E" w:rsidRPr="000737D7" w:rsidTr="004528F9">
        <w:trPr>
          <w:trHeight w:val="57"/>
        </w:trPr>
        <w:tc>
          <w:tcPr>
            <w:tcW w:w="0" w:type="auto"/>
            <w:vMerge w:val="restart"/>
            <w:tcBorders>
              <w:top w:val="single" w:sz="12" w:space="0" w:color="auto"/>
            </w:tcBorders>
            <w:shd w:val="clear" w:color="auto" w:fill="C45911" w:themeFill="accent2" w:themeFillShade="BF"/>
            <w:textDirection w:val="btLr"/>
            <w:vAlign w:val="center"/>
          </w:tcPr>
          <w:p w:rsidR="00B10E5E" w:rsidRPr="00C46651" w:rsidRDefault="00B10E5E" w:rsidP="0062745E">
            <w:pPr>
              <w:ind w:left="113" w:right="113"/>
              <w:jc w:val="center"/>
              <w:rPr>
                <w:b/>
                <w:sz w:val="18"/>
                <w:szCs w:val="18"/>
              </w:rPr>
            </w:pPr>
            <w:r w:rsidRPr="004528F9">
              <w:rPr>
                <w:b/>
                <w:color w:val="FFFFFF" w:themeColor="background1"/>
                <w:sz w:val="18"/>
                <w:szCs w:val="18"/>
              </w:rPr>
              <w:t>Diamanti</w:t>
            </w:r>
          </w:p>
        </w:tc>
        <w:tc>
          <w:tcPr>
            <w:tcW w:w="0" w:type="auto"/>
            <w:tcBorders>
              <w:top w:val="single" w:sz="12" w:space="0" w:color="auto"/>
              <w:right w:val="nil"/>
            </w:tcBorders>
          </w:tcPr>
          <w:p w:rsidR="00B10E5E" w:rsidRPr="000737D7" w:rsidRDefault="00B10E5E" w:rsidP="0062745E">
            <w:pPr>
              <w:rPr>
                <w:sz w:val="18"/>
                <w:szCs w:val="18"/>
              </w:rPr>
            </w:pPr>
            <w:r w:rsidRPr="000737D7">
              <w:rPr>
                <w:sz w:val="18"/>
                <w:szCs w:val="18"/>
              </w:rPr>
              <w:t>Milano</w:t>
            </w:r>
          </w:p>
        </w:tc>
        <w:tc>
          <w:tcPr>
            <w:tcW w:w="0" w:type="auto"/>
            <w:tcBorders>
              <w:top w:val="single" w:sz="12" w:space="0" w:color="auto"/>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597824" behindDoc="0" locked="0" layoutInCell="1" allowOverlap="1" wp14:anchorId="1C37F924" wp14:editId="2A5D92A7">
                      <wp:simplePos x="0" y="0"/>
                      <wp:positionH relativeFrom="margin">
                        <wp:posOffset>0</wp:posOffset>
                      </wp:positionH>
                      <wp:positionV relativeFrom="margin">
                        <wp:posOffset>25763</wp:posOffset>
                      </wp:positionV>
                      <wp:extent cx="3709116" cy="77274"/>
                      <wp:effectExtent l="0" t="0" r="43815" b="18415"/>
                      <wp:wrapNone/>
                      <wp:docPr id="550" name="Pentagono 550"/>
                      <wp:cNvGraphicFramePr/>
                      <a:graphic xmlns:a="http://schemas.openxmlformats.org/drawingml/2006/main">
                        <a:graphicData uri="http://schemas.microsoft.com/office/word/2010/wordprocessingShape">
                          <wps:wsp>
                            <wps:cNvSpPr/>
                            <wps:spPr>
                              <a:xfrm>
                                <a:off x="0" y="0"/>
                                <a:ext cx="3709116" cy="77274"/>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875D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550" o:spid="_x0000_s1026" type="#_x0000_t15" style="position:absolute;margin-left:0;margin-top:2.05pt;width:292.05pt;height:6.1pt;z-index:25159782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" adj="21375" fillcolor="#ed7d31 [3205]" strokecolor="#823b0b [1605]" strokeweight="1pt">
                      <w10:wrap anchorx="margin" anchory="margin"/>
                    </v:shape>
                  </w:pict>
                </mc:Fallback>
              </mc:AlternateContent>
            </w:r>
            <w:r w:rsidRPr="000737D7">
              <w:rPr>
                <w:sz w:val="18"/>
                <w:szCs w:val="18"/>
              </w:rPr>
              <w:t xml:space="preserve">                                                                                                                         </w:t>
            </w:r>
            <w:r w:rsidR="003F767B">
              <w:rPr>
                <w:sz w:val="18"/>
                <w:szCs w:val="18"/>
              </w:rPr>
              <w:t xml:space="preserve">                         </w:t>
            </w:r>
            <w:r w:rsidRPr="000737D7">
              <w:rPr>
                <w:sz w:val="18"/>
                <w:szCs w:val="18"/>
              </w:rPr>
              <w:t>92</w:t>
            </w:r>
          </w:p>
        </w:tc>
      </w:tr>
      <w:tr w:rsidR="00B10E5E" w:rsidRPr="000737D7" w:rsidTr="004528F9">
        <w:trPr>
          <w:trHeight w:val="57"/>
        </w:trPr>
        <w:tc>
          <w:tcPr>
            <w:tcW w:w="0" w:type="auto"/>
            <w:vMerge/>
            <w:shd w:val="clear" w:color="auto" w:fill="C45911" w:themeFill="accent2" w:themeFillShade="BF"/>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Roma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599872" behindDoc="0" locked="0" layoutInCell="1" allowOverlap="1" wp14:anchorId="62CFC976" wp14:editId="5870A7EE">
                      <wp:simplePos x="0" y="0"/>
                      <wp:positionH relativeFrom="margin">
                        <wp:posOffset>0</wp:posOffset>
                      </wp:positionH>
                      <wp:positionV relativeFrom="margin">
                        <wp:posOffset>35923</wp:posOffset>
                      </wp:positionV>
                      <wp:extent cx="3709035" cy="76835"/>
                      <wp:effectExtent l="0" t="0" r="43815" b="18415"/>
                      <wp:wrapNone/>
                      <wp:docPr id="5" name="Pentagono 5"/>
                      <wp:cNvGraphicFramePr/>
                      <a:graphic xmlns:a="http://schemas.openxmlformats.org/drawingml/2006/main">
                        <a:graphicData uri="http://schemas.microsoft.com/office/word/2010/wordprocessingShape">
                          <wps:wsp>
                            <wps:cNvSpPr/>
                            <wps:spPr>
                              <a:xfrm>
                                <a:off x="0" y="0"/>
                                <a:ext cx="3709035" cy="76835"/>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E3117B" id="Pentagono 5" o:spid="_x0000_s1026" type="#_x0000_t15" style="position:absolute;margin-left:0;margin-top:2.85pt;width:292.05pt;height:6.05pt;z-index:25159987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" adj="21376" fillcolor="#ed7d31 [3205]" strokecolor="#823b0b [1605]" strokeweight="1pt">
                      <w10:wrap anchorx="margin" anchory="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92</w:t>
            </w:r>
          </w:p>
        </w:tc>
      </w:tr>
      <w:tr w:rsidR="00B10E5E" w:rsidRPr="000737D7" w:rsidTr="004528F9">
        <w:trPr>
          <w:trHeight w:val="57"/>
        </w:trPr>
        <w:tc>
          <w:tcPr>
            <w:tcW w:w="0" w:type="auto"/>
            <w:vMerge/>
            <w:shd w:val="clear" w:color="auto" w:fill="C45911" w:themeFill="accent2" w:themeFillShade="BF"/>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Verona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01920" behindDoc="0" locked="0" layoutInCell="1" allowOverlap="1" wp14:anchorId="74E73D29" wp14:editId="662236B8">
                      <wp:simplePos x="0" y="0"/>
                      <wp:positionH relativeFrom="margin">
                        <wp:align>left</wp:align>
                      </wp:positionH>
                      <wp:positionV relativeFrom="paragraph">
                        <wp:posOffset>25490</wp:posOffset>
                      </wp:positionV>
                      <wp:extent cx="3709035" cy="76835"/>
                      <wp:effectExtent l="0" t="0" r="43815" b="18415"/>
                      <wp:wrapNone/>
                      <wp:docPr id="6" name="Pentagono 6"/>
                      <wp:cNvGraphicFramePr/>
                      <a:graphic xmlns:a="http://schemas.openxmlformats.org/drawingml/2006/main">
                        <a:graphicData uri="http://schemas.microsoft.com/office/word/2010/wordprocessingShape">
                          <wps:wsp>
                            <wps:cNvSpPr/>
                            <wps:spPr>
                              <a:xfrm>
                                <a:off x="0" y="0"/>
                                <a:ext cx="3709035" cy="76835"/>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6C83CD" id="Pentagono 6" o:spid="_x0000_s1026" type="#_x0000_t15" style="position:absolute;margin-left:0;margin-top:2pt;width:292.05pt;height:6.05pt;z-index:2516019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" adj="21376" fillcolor="#ed7d31 [3205]" strokecolor="#823b0b [1605]"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92</w:t>
            </w:r>
          </w:p>
        </w:tc>
      </w:tr>
      <w:tr w:rsidR="00B10E5E" w:rsidRPr="000737D7" w:rsidTr="004528F9">
        <w:trPr>
          <w:trHeight w:val="57"/>
        </w:trPr>
        <w:tc>
          <w:tcPr>
            <w:tcW w:w="0" w:type="auto"/>
            <w:vMerge/>
            <w:shd w:val="clear" w:color="auto" w:fill="C45911" w:themeFill="accent2" w:themeFillShade="BF"/>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Genova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03968" behindDoc="0" locked="0" layoutInCell="1" allowOverlap="1" wp14:anchorId="499A0F2E" wp14:editId="3645257D">
                      <wp:simplePos x="0" y="0"/>
                      <wp:positionH relativeFrom="margin">
                        <wp:align>left</wp:align>
                      </wp:positionH>
                      <wp:positionV relativeFrom="paragraph">
                        <wp:posOffset>36195</wp:posOffset>
                      </wp:positionV>
                      <wp:extent cx="3709035" cy="76835"/>
                      <wp:effectExtent l="0" t="0" r="43815" b="18415"/>
                      <wp:wrapNone/>
                      <wp:docPr id="551" name="Pentagono 551"/>
                      <wp:cNvGraphicFramePr/>
                      <a:graphic xmlns:a="http://schemas.openxmlformats.org/drawingml/2006/main">
                        <a:graphicData uri="http://schemas.microsoft.com/office/word/2010/wordprocessingShape">
                          <wps:wsp>
                            <wps:cNvSpPr/>
                            <wps:spPr>
                              <a:xfrm>
                                <a:off x="0" y="0"/>
                                <a:ext cx="3709035" cy="76835"/>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F7B01B" id="Pentagono 551" o:spid="_x0000_s1026" type="#_x0000_t15" style="position:absolute;margin-left:0;margin-top:2.85pt;width:292.05pt;height:6.05pt;z-index:2516039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" adj="21376" fillcolor="#ed7d31 [3205]" strokecolor="#823b0b [1605]"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92</w:t>
            </w:r>
          </w:p>
        </w:tc>
      </w:tr>
      <w:tr w:rsidR="00B10E5E" w:rsidRPr="000737D7" w:rsidTr="004528F9">
        <w:trPr>
          <w:trHeight w:val="57"/>
        </w:trPr>
        <w:tc>
          <w:tcPr>
            <w:tcW w:w="0" w:type="auto"/>
            <w:vMerge/>
            <w:shd w:val="clear" w:color="auto" w:fill="C45911" w:themeFill="accent2" w:themeFillShade="BF"/>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Aosta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06016" behindDoc="0" locked="0" layoutInCell="1" allowOverlap="1" wp14:anchorId="15BBF4B8" wp14:editId="66A7F52F">
                      <wp:simplePos x="0" y="0"/>
                      <wp:positionH relativeFrom="margin">
                        <wp:align>left</wp:align>
                      </wp:positionH>
                      <wp:positionV relativeFrom="paragraph">
                        <wp:posOffset>33655</wp:posOffset>
                      </wp:positionV>
                      <wp:extent cx="3709035" cy="76835"/>
                      <wp:effectExtent l="0" t="0" r="43815" b="18415"/>
                      <wp:wrapNone/>
                      <wp:docPr id="552" name="Pentagono 552"/>
                      <wp:cNvGraphicFramePr/>
                      <a:graphic xmlns:a="http://schemas.openxmlformats.org/drawingml/2006/main">
                        <a:graphicData uri="http://schemas.microsoft.com/office/word/2010/wordprocessingShape">
                          <wps:wsp>
                            <wps:cNvSpPr/>
                            <wps:spPr>
                              <a:xfrm>
                                <a:off x="0" y="0"/>
                                <a:ext cx="3709035" cy="76835"/>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202BFD" id="Pentagono 552" o:spid="_x0000_s1026" type="#_x0000_t15" style="position:absolute;margin-left:0;margin-top:2.65pt;width:292.05pt;height:6.05pt;z-index:2516060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" adj="21376" fillcolor="#ed7d31 [3205]" strokecolor="#823b0b [1605]"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92</w:t>
            </w:r>
          </w:p>
        </w:tc>
      </w:tr>
      <w:tr w:rsidR="00B10E5E" w:rsidRPr="000737D7" w:rsidTr="004528F9">
        <w:trPr>
          <w:trHeight w:val="57"/>
        </w:trPr>
        <w:tc>
          <w:tcPr>
            <w:tcW w:w="0" w:type="auto"/>
            <w:vMerge/>
            <w:shd w:val="clear" w:color="auto" w:fill="C45911" w:themeFill="accent2" w:themeFillShade="BF"/>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Messina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08064" behindDoc="0" locked="0" layoutInCell="1" allowOverlap="1" wp14:anchorId="5475EAB5" wp14:editId="4ABA0B67">
                      <wp:simplePos x="0" y="0"/>
                      <wp:positionH relativeFrom="margin">
                        <wp:align>left</wp:align>
                      </wp:positionH>
                      <wp:positionV relativeFrom="paragraph">
                        <wp:posOffset>22225</wp:posOffset>
                      </wp:positionV>
                      <wp:extent cx="3709035" cy="76835"/>
                      <wp:effectExtent l="0" t="0" r="43815" b="18415"/>
                      <wp:wrapNone/>
                      <wp:docPr id="553" name="Pentagono 553"/>
                      <wp:cNvGraphicFramePr/>
                      <a:graphic xmlns:a="http://schemas.openxmlformats.org/drawingml/2006/main">
                        <a:graphicData uri="http://schemas.microsoft.com/office/word/2010/wordprocessingShape">
                          <wps:wsp>
                            <wps:cNvSpPr/>
                            <wps:spPr>
                              <a:xfrm>
                                <a:off x="0" y="0"/>
                                <a:ext cx="3709035" cy="76835"/>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ADC8A3" id="Pentagono 553" o:spid="_x0000_s1026" type="#_x0000_t15" style="position:absolute;margin-left:0;margin-top:1.75pt;width:292.05pt;height:6.05pt;z-index:2516080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" adj="21376" fillcolor="#ed7d31 [3205]" strokecolor="#823b0b [1605]"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92</w:t>
            </w:r>
          </w:p>
        </w:tc>
      </w:tr>
      <w:tr w:rsidR="00B10E5E" w:rsidRPr="000737D7" w:rsidTr="004528F9">
        <w:trPr>
          <w:trHeight w:val="57"/>
        </w:trPr>
        <w:tc>
          <w:tcPr>
            <w:tcW w:w="0" w:type="auto"/>
            <w:vMerge/>
            <w:shd w:val="clear" w:color="auto" w:fill="C45911" w:themeFill="accent2" w:themeFillShade="BF"/>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Bari</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10112" behindDoc="0" locked="0" layoutInCell="1" allowOverlap="1" wp14:anchorId="5E544C9A" wp14:editId="630B9625">
                      <wp:simplePos x="0" y="0"/>
                      <wp:positionH relativeFrom="margin">
                        <wp:align>left</wp:align>
                      </wp:positionH>
                      <wp:positionV relativeFrom="paragraph">
                        <wp:posOffset>36195</wp:posOffset>
                      </wp:positionV>
                      <wp:extent cx="3709035" cy="76835"/>
                      <wp:effectExtent l="0" t="0" r="43815" b="18415"/>
                      <wp:wrapNone/>
                      <wp:docPr id="554" name="Pentagono 554"/>
                      <wp:cNvGraphicFramePr/>
                      <a:graphic xmlns:a="http://schemas.openxmlformats.org/drawingml/2006/main">
                        <a:graphicData uri="http://schemas.microsoft.com/office/word/2010/wordprocessingShape">
                          <wps:wsp>
                            <wps:cNvSpPr/>
                            <wps:spPr>
                              <a:xfrm>
                                <a:off x="0" y="0"/>
                                <a:ext cx="3709035" cy="76835"/>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17BACF" id="Pentagono 554" o:spid="_x0000_s1026" type="#_x0000_t15" style="position:absolute;margin-left:0;margin-top:2.85pt;width:292.05pt;height:6.05pt;z-index:2516101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" adj="21376" fillcolor="#ed7d31 [3205]" strokecolor="#823b0b [1605]"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92</w:t>
            </w:r>
          </w:p>
        </w:tc>
      </w:tr>
      <w:tr w:rsidR="00B10E5E" w:rsidRPr="000737D7" w:rsidTr="004528F9">
        <w:trPr>
          <w:trHeight w:val="57"/>
        </w:trPr>
        <w:tc>
          <w:tcPr>
            <w:tcW w:w="0" w:type="auto"/>
            <w:vMerge/>
            <w:tcBorders>
              <w:bottom w:val="single" w:sz="12" w:space="0" w:color="auto"/>
            </w:tcBorders>
            <w:shd w:val="clear" w:color="auto" w:fill="C45911" w:themeFill="accent2" w:themeFillShade="BF"/>
          </w:tcPr>
          <w:p w:rsidR="00B10E5E" w:rsidRPr="00C46651" w:rsidRDefault="00B10E5E" w:rsidP="0062745E">
            <w:pPr>
              <w:rPr>
                <w:b/>
                <w:sz w:val="18"/>
                <w:szCs w:val="18"/>
              </w:rPr>
            </w:pPr>
          </w:p>
        </w:tc>
        <w:tc>
          <w:tcPr>
            <w:tcW w:w="0" w:type="auto"/>
            <w:tcBorders>
              <w:bottom w:val="single" w:sz="12" w:space="0" w:color="auto"/>
              <w:right w:val="nil"/>
            </w:tcBorders>
          </w:tcPr>
          <w:p w:rsidR="00B10E5E" w:rsidRPr="000737D7" w:rsidRDefault="00B10E5E" w:rsidP="0062745E">
            <w:pPr>
              <w:rPr>
                <w:sz w:val="18"/>
                <w:szCs w:val="18"/>
              </w:rPr>
            </w:pPr>
            <w:r w:rsidRPr="000737D7">
              <w:rPr>
                <w:sz w:val="18"/>
                <w:szCs w:val="18"/>
              </w:rPr>
              <w:t>Siracusa</w:t>
            </w:r>
          </w:p>
        </w:tc>
        <w:tc>
          <w:tcPr>
            <w:tcW w:w="0" w:type="auto"/>
            <w:tcBorders>
              <w:left w:val="nil"/>
              <w:bottom w:val="single" w:sz="12" w:space="0" w:color="auto"/>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12160" behindDoc="0" locked="0" layoutInCell="1" allowOverlap="1" wp14:anchorId="4E8C005A" wp14:editId="6BF660A6">
                      <wp:simplePos x="0" y="0"/>
                      <wp:positionH relativeFrom="margin">
                        <wp:align>left</wp:align>
                      </wp:positionH>
                      <wp:positionV relativeFrom="paragraph">
                        <wp:posOffset>37465</wp:posOffset>
                      </wp:positionV>
                      <wp:extent cx="3709035" cy="76835"/>
                      <wp:effectExtent l="0" t="0" r="43815" b="18415"/>
                      <wp:wrapNone/>
                      <wp:docPr id="12" name="Pentagono 12"/>
                      <wp:cNvGraphicFramePr/>
                      <a:graphic xmlns:a="http://schemas.openxmlformats.org/drawingml/2006/main">
                        <a:graphicData uri="http://schemas.microsoft.com/office/word/2010/wordprocessingShape">
                          <wps:wsp>
                            <wps:cNvSpPr/>
                            <wps:spPr>
                              <a:xfrm>
                                <a:off x="0" y="0"/>
                                <a:ext cx="3709035" cy="76835"/>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81DB8A" id="Pentagono 12" o:spid="_x0000_s1026" type="#_x0000_t15" style="position:absolute;margin-left:0;margin-top:2.95pt;width:292.05pt;height:6.05pt;z-index:2516121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" adj="21376" fillcolor="#ed7d31 [3205]" strokecolor="#823b0b [1605]"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92</w:t>
            </w:r>
          </w:p>
        </w:tc>
      </w:tr>
      <w:tr w:rsidR="00B10E5E" w:rsidRPr="000737D7" w:rsidTr="004528F9">
        <w:trPr>
          <w:trHeight w:val="57"/>
        </w:trPr>
        <w:tc>
          <w:tcPr>
            <w:tcW w:w="0" w:type="auto"/>
            <w:vMerge w:val="restart"/>
            <w:tcBorders>
              <w:top w:val="single" w:sz="12" w:space="0" w:color="auto"/>
            </w:tcBorders>
            <w:shd w:val="clear" w:color="auto" w:fill="FFD966" w:themeFill="accent4" w:themeFillTint="99"/>
            <w:textDirection w:val="btLr"/>
            <w:vAlign w:val="center"/>
          </w:tcPr>
          <w:p w:rsidR="00B10E5E" w:rsidRPr="004528F9" w:rsidRDefault="00B10E5E" w:rsidP="0062745E">
            <w:pPr>
              <w:ind w:left="113" w:right="113"/>
              <w:jc w:val="center"/>
              <w:rPr>
                <w:b/>
                <w:color w:val="FFFFFF" w:themeColor="background1"/>
                <w:sz w:val="18"/>
                <w:szCs w:val="18"/>
              </w:rPr>
            </w:pPr>
            <w:r w:rsidRPr="004528F9">
              <w:rPr>
                <w:b/>
                <w:color w:val="FFFFFF" w:themeColor="background1"/>
                <w:sz w:val="18"/>
                <w:szCs w:val="18"/>
              </w:rPr>
              <w:t>Topazi</w:t>
            </w:r>
          </w:p>
        </w:tc>
        <w:tc>
          <w:tcPr>
            <w:tcW w:w="0" w:type="auto"/>
            <w:tcBorders>
              <w:top w:val="single" w:sz="12" w:space="0" w:color="auto"/>
              <w:right w:val="nil"/>
            </w:tcBorders>
          </w:tcPr>
          <w:p w:rsidR="00B10E5E" w:rsidRPr="000737D7" w:rsidRDefault="00B10E5E" w:rsidP="0062745E">
            <w:pPr>
              <w:rPr>
                <w:sz w:val="18"/>
                <w:szCs w:val="18"/>
              </w:rPr>
            </w:pPr>
            <w:r w:rsidRPr="000737D7">
              <w:rPr>
                <w:sz w:val="18"/>
                <w:szCs w:val="18"/>
              </w:rPr>
              <w:t>Firenze</w:t>
            </w:r>
          </w:p>
        </w:tc>
        <w:tc>
          <w:tcPr>
            <w:tcW w:w="0" w:type="auto"/>
            <w:tcBorders>
              <w:top w:val="single" w:sz="12" w:space="0" w:color="auto"/>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14208" behindDoc="0" locked="0" layoutInCell="1" allowOverlap="1" wp14:anchorId="65E6A5FB" wp14:editId="5C7A7AC1">
                      <wp:simplePos x="0" y="0"/>
                      <wp:positionH relativeFrom="margin">
                        <wp:align>left</wp:align>
                      </wp:positionH>
                      <wp:positionV relativeFrom="paragraph">
                        <wp:posOffset>26035</wp:posOffset>
                      </wp:positionV>
                      <wp:extent cx="3303431" cy="76835"/>
                      <wp:effectExtent l="0" t="0" r="30480" b="18415"/>
                      <wp:wrapNone/>
                      <wp:docPr id="555" name="Pentagono 555"/>
                      <wp:cNvGraphicFramePr/>
                      <a:graphic xmlns:a="http://schemas.openxmlformats.org/drawingml/2006/main">
                        <a:graphicData uri="http://schemas.microsoft.com/office/word/2010/wordprocessingShape">
                          <wps:wsp>
                            <wps:cNvSpPr/>
                            <wps:spPr>
                              <a:xfrm>
                                <a:off x="0" y="0"/>
                                <a:ext cx="3303431" cy="76835"/>
                              </a:xfrm>
                              <a:prstGeom prst="homePlat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AA8904" id="Pentagono 555" o:spid="_x0000_s1026" type="#_x0000_t15" style="position:absolute;margin-left:0;margin-top:2.05pt;width:260.1pt;height:6.05pt;z-index:251614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" adj="21349" fillcolor="#ffd966 [1943]" strokecolor="#ffd966 [1943]"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83</w:t>
            </w:r>
          </w:p>
        </w:tc>
      </w:tr>
      <w:tr w:rsidR="00B10E5E" w:rsidRPr="000737D7" w:rsidTr="004528F9">
        <w:trPr>
          <w:trHeight w:val="57"/>
        </w:trPr>
        <w:tc>
          <w:tcPr>
            <w:tcW w:w="0" w:type="auto"/>
            <w:vMerge/>
            <w:shd w:val="clear" w:color="auto" w:fill="FFD966" w:themeFill="accent4" w:themeFillTint="99"/>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Perugia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16256" behindDoc="0" locked="0" layoutInCell="1" allowOverlap="1" wp14:anchorId="61C41F85" wp14:editId="3BFA1040">
                      <wp:simplePos x="0" y="0"/>
                      <wp:positionH relativeFrom="margin">
                        <wp:align>left</wp:align>
                      </wp:positionH>
                      <wp:positionV relativeFrom="paragraph">
                        <wp:posOffset>39370</wp:posOffset>
                      </wp:positionV>
                      <wp:extent cx="3303270" cy="76835"/>
                      <wp:effectExtent l="0" t="0" r="30480" b="18415"/>
                      <wp:wrapNone/>
                      <wp:docPr id="556" name="Pentagono 556"/>
                      <wp:cNvGraphicFramePr/>
                      <a:graphic xmlns:a="http://schemas.openxmlformats.org/drawingml/2006/main">
                        <a:graphicData uri="http://schemas.microsoft.com/office/word/2010/wordprocessingShape">
                          <wps:wsp>
                            <wps:cNvSpPr/>
                            <wps:spPr>
                              <a:xfrm>
                                <a:off x="0" y="0"/>
                                <a:ext cx="3303270" cy="76835"/>
                              </a:xfrm>
                              <a:prstGeom prst="homePlat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05C68F" id="Pentagono 556" o:spid="_x0000_s1026" type="#_x0000_t15" style="position:absolute;margin-left:0;margin-top:3.1pt;width:260.1pt;height:6.05pt;z-index:2516162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" adj="21349" fillcolor="#ffd966 [1943]" strokecolor="#ffd966 [1943]"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83</w:t>
            </w:r>
          </w:p>
        </w:tc>
      </w:tr>
      <w:tr w:rsidR="00B10E5E" w:rsidRPr="000737D7" w:rsidTr="004528F9">
        <w:trPr>
          <w:trHeight w:val="57"/>
        </w:trPr>
        <w:tc>
          <w:tcPr>
            <w:tcW w:w="0" w:type="auto"/>
            <w:vMerge/>
            <w:shd w:val="clear" w:color="auto" w:fill="FFD966" w:themeFill="accent4" w:themeFillTint="99"/>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Rimini</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18304" behindDoc="0" locked="0" layoutInCell="1" allowOverlap="1" wp14:anchorId="034E466A" wp14:editId="6CEFF7D8">
                      <wp:simplePos x="0" y="0"/>
                      <wp:positionH relativeFrom="margin">
                        <wp:align>left</wp:align>
                      </wp:positionH>
                      <wp:positionV relativeFrom="paragraph">
                        <wp:posOffset>35906</wp:posOffset>
                      </wp:positionV>
                      <wp:extent cx="3303270" cy="76835"/>
                      <wp:effectExtent l="0" t="0" r="30480" b="18415"/>
                      <wp:wrapNone/>
                      <wp:docPr id="557" name="Pentagono 557"/>
                      <wp:cNvGraphicFramePr/>
                      <a:graphic xmlns:a="http://schemas.openxmlformats.org/drawingml/2006/main">
                        <a:graphicData uri="http://schemas.microsoft.com/office/word/2010/wordprocessingShape">
                          <wps:wsp>
                            <wps:cNvSpPr/>
                            <wps:spPr>
                              <a:xfrm>
                                <a:off x="0" y="0"/>
                                <a:ext cx="3303270" cy="76835"/>
                              </a:xfrm>
                              <a:prstGeom prst="homePlat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3A47EF" id="Pentagono 557" o:spid="_x0000_s1026" type="#_x0000_t15" style="position:absolute;margin-left:0;margin-top:2.85pt;width:260.1pt;height:6.05pt;z-index:2516183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" adj="21349" fillcolor="#ffd966 [1943]" strokecolor="#ffd966 [1943]"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83</w:t>
            </w:r>
          </w:p>
        </w:tc>
      </w:tr>
      <w:tr w:rsidR="00B10E5E" w:rsidRPr="000737D7" w:rsidTr="004528F9">
        <w:trPr>
          <w:trHeight w:val="57"/>
        </w:trPr>
        <w:tc>
          <w:tcPr>
            <w:tcW w:w="0" w:type="auto"/>
            <w:vMerge/>
            <w:shd w:val="clear" w:color="auto" w:fill="FFD966" w:themeFill="accent4" w:themeFillTint="99"/>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 xml:space="preserve">Como </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20352" behindDoc="0" locked="0" layoutInCell="1" allowOverlap="1" wp14:anchorId="4D04012C" wp14:editId="2DADCE60">
                      <wp:simplePos x="0" y="0"/>
                      <wp:positionH relativeFrom="margin">
                        <wp:align>left</wp:align>
                      </wp:positionH>
                      <wp:positionV relativeFrom="paragraph">
                        <wp:posOffset>36541</wp:posOffset>
                      </wp:positionV>
                      <wp:extent cx="3303270" cy="76835"/>
                      <wp:effectExtent l="0" t="0" r="30480" b="18415"/>
                      <wp:wrapNone/>
                      <wp:docPr id="558" name="Pentagono 558"/>
                      <wp:cNvGraphicFramePr/>
                      <a:graphic xmlns:a="http://schemas.openxmlformats.org/drawingml/2006/main">
                        <a:graphicData uri="http://schemas.microsoft.com/office/word/2010/wordprocessingShape">
                          <wps:wsp>
                            <wps:cNvSpPr/>
                            <wps:spPr>
                              <a:xfrm>
                                <a:off x="0" y="0"/>
                                <a:ext cx="3303270" cy="76835"/>
                              </a:xfrm>
                              <a:prstGeom prst="homePlat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5754C9" id="Pentagono 558" o:spid="_x0000_s1026" type="#_x0000_t15" style="position:absolute;margin-left:0;margin-top:2.9pt;width:260.1pt;height:6.05pt;z-index:2516203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" adj="21349" fillcolor="#ffd966 [1943]" strokecolor="#ffd966 [1943]"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83</w:t>
            </w:r>
          </w:p>
        </w:tc>
      </w:tr>
      <w:tr w:rsidR="00B10E5E" w:rsidRPr="000737D7" w:rsidTr="004528F9">
        <w:trPr>
          <w:trHeight w:val="57"/>
        </w:trPr>
        <w:tc>
          <w:tcPr>
            <w:tcW w:w="0" w:type="auto"/>
            <w:vMerge/>
            <w:shd w:val="clear" w:color="auto" w:fill="FFD966" w:themeFill="accent4" w:themeFillTint="99"/>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 xml:space="preserve">Lecce </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22400" behindDoc="0" locked="0" layoutInCell="1" allowOverlap="1" wp14:anchorId="7FD30719" wp14:editId="5DC43C32">
                      <wp:simplePos x="0" y="0"/>
                      <wp:positionH relativeFrom="margin">
                        <wp:align>left</wp:align>
                      </wp:positionH>
                      <wp:positionV relativeFrom="paragraph">
                        <wp:posOffset>47988</wp:posOffset>
                      </wp:positionV>
                      <wp:extent cx="3303270" cy="76835"/>
                      <wp:effectExtent l="0" t="0" r="30480" b="18415"/>
                      <wp:wrapNone/>
                      <wp:docPr id="559" name="Pentagono 559"/>
                      <wp:cNvGraphicFramePr/>
                      <a:graphic xmlns:a="http://schemas.openxmlformats.org/drawingml/2006/main">
                        <a:graphicData uri="http://schemas.microsoft.com/office/word/2010/wordprocessingShape">
                          <wps:wsp>
                            <wps:cNvSpPr/>
                            <wps:spPr>
                              <a:xfrm>
                                <a:off x="0" y="0"/>
                                <a:ext cx="3303270" cy="76835"/>
                              </a:xfrm>
                              <a:prstGeom prst="homePlate">
                                <a:avLst/>
                              </a:prstGeom>
                              <a:solidFill>
                                <a:schemeClr val="accent4">
                                  <a:lumMod val="60000"/>
                                  <a:lumOff val="40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0C5913" id="Pentagono 559" o:spid="_x0000_s1026" type="#_x0000_t15" style="position:absolute;margin-left:0;margin-top:3.8pt;width:260.1pt;height:6.05pt;z-index:2516224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" adj="21349" fillcolor="#ffd966 [1943]" strokecolor="#ffd966 [1943]"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83</w:t>
            </w:r>
          </w:p>
        </w:tc>
      </w:tr>
      <w:tr w:rsidR="00B10E5E" w:rsidRPr="000737D7" w:rsidTr="004528F9">
        <w:trPr>
          <w:trHeight w:val="57"/>
        </w:trPr>
        <w:tc>
          <w:tcPr>
            <w:tcW w:w="0" w:type="auto"/>
            <w:vMerge/>
            <w:shd w:val="clear" w:color="auto" w:fill="FFD966" w:themeFill="accent4" w:themeFillTint="99"/>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Pescara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24448" behindDoc="0" locked="0" layoutInCell="1" allowOverlap="1" wp14:anchorId="4C463C94" wp14:editId="3D8EE19E">
                      <wp:simplePos x="0" y="0"/>
                      <wp:positionH relativeFrom="margin">
                        <wp:align>left</wp:align>
                      </wp:positionH>
                      <wp:positionV relativeFrom="paragraph">
                        <wp:posOffset>38463</wp:posOffset>
                      </wp:positionV>
                      <wp:extent cx="3303270" cy="76835"/>
                      <wp:effectExtent l="0" t="0" r="30480" b="18415"/>
                      <wp:wrapNone/>
                      <wp:docPr id="560" name="Pentagono 560"/>
                      <wp:cNvGraphicFramePr/>
                      <a:graphic xmlns:a="http://schemas.openxmlformats.org/drawingml/2006/main">
                        <a:graphicData uri="http://schemas.microsoft.com/office/word/2010/wordprocessingShape">
                          <wps:wsp>
                            <wps:cNvSpPr/>
                            <wps:spPr>
                              <a:xfrm>
                                <a:off x="0" y="0"/>
                                <a:ext cx="3303270" cy="76835"/>
                              </a:xfrm>
                              <a:prstGeom prst="homePlat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F96312" id="Pentagono 560" o:spid="_x0000_s1026" type="#_x0000_t15" style="position:absolute;margin-left:0;margin-top:3.05pt;width:260.1pt;height:6.05pt;z-index:2516244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" adj="21349" fillcolor="#ffd966" strokecolor="#ffd966"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83</w:t>
            </w:r>
          </w:p>
        </w:tc>
      </w:tr>
      <w:tr w:rsidR="00B10E5E" w:rsidRPr="000737D7" w:rsidTr="004528F9">
        <w:trPr>
          <w:trHeight w:val="57"/>
        </w:trPr>
        <w:tc>
          <w:tcPr>
            <w:tcW w:w="0" w:type="auto"/>
            <w:vMerge/>
            <w:shd w:val="clear" w:color="auto" w:fill="FFD966" w:themeFill="accent4" w:themeFillTint="99"/>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Reggio Calabria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26496" behindDoc="0" locked="0" layoutInCell="1" allowOverlap="1" wp14:anchorId="2D723ACC" wp14:editId="12467A21">
                      <wp:simplePos x="0" y="0"/>
                      <wp:positionH relativeFrom="margin">
                        <wp:align>left</wp:align>
                      </wp:positionH>
                      <wp:positionV relativeFrom="paragraph">
                        <wp:posOffset>42273</wp:posOffset>
                      </wp:positionV>
                      <wp:extent cx="3303270" cy="76835"/>
                      <wp:effectExtent l="0" t="0" r="30480" b="18415"/>
                      <wp:wrapNone/>
                      <wp:docPr id="561" name="Pentagono 561"/>
                      <wp:cNvGraphicFramePr/>
                      <a:graphic xmlns:a="http://schemas.openxmlformats.org/drawingml/2006/main">
                        <a:graphicData uri="http://schemas.microsoft.com/office/word/2010/wordprocessingShape">
                          <wps:wsp>
                            <wps:cNvSpPr/>
                            <wps:spPr>
                              <a:xfrm>
                                <a:off x="0" y="0"/>
                                <a:ext cx="3303270" cy="76835"/>
                              </a:xfrm>
                              <a:prstGeom prst="homePlat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9C576A" id="Pentagono 561" o:spid="_x0000_s1026" type="#_x0000_t15" style="position:absolute;margin-left:0;margin-top:3.35pt;width:260.1pt;height:6.05pt;z-index:2516264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" adj="21349" fillcolor="#ffd966" strokecolor="#ffd966"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83</w:t>
            </w:r>
          </w:p>
        </w:tc>
      </w:tr>
      <w:tr w:rsidR="00B10E5E" w:rsidRPr="000737D7" w:rsidTr="004528F9">
        <w:trPr>
          <w:trHeight w:val="57"/>
        </w:trPr>
        <w:tc>
          <w:tcPr>
            <w:tcW w:w="0" w:type="auto"/>
            <w:vMerge/>
            <w:shd w:val="clear" w:color="auto" w:fill="FFD966" w:themeFill="accent4" w:themeFillTint="99"/>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Savona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28544" behindDoc="0" locked="0" layoutInCell="1" allowOverlap="1" wp14:anchorId="34C80B8C" wp14:editId="796FBF3D">
                      <wp:simplePos x="0" y="0"/>
                      <wp:positionH relativeFrom="margin">
                        <wp:posOffset>0</wp:posOffset>
                      </wp:positionH>
                      <wp:positionV relativeFrom="paragraph">
                        <wp:posOffset>49258</wp:posOffset>
                      </wp:positionV>
                      <wp:extent cx="3303270" cy="76835"/>
                      <wp:effectExtent l="0" t="0" r="30480" b="18415"/>
                      <wp:wrapNone/>
                      <wp:docPr id="562" name="Pentagono 562"/>
                      <wp:cNvGraphicFramePr/>
                      <a:graphic xmlns:a="http://schemas.openxmlformats.org/drawingml/2006/main">
                        <a:graphicData uri="http://schemas.microsoft.com/office/word/2010/wordprocessingShape">
                          <wps:wsp>
                            <wps:cNvSpPr/>
                            <wps:spPr>
                              <a:xfrm>
                                <a:off x="0" y="0"/>
                                <a:ext cx="3303270" cy="76835"/>
                              </a:xfrm>
                              <a:prstGeom prst="homePlat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2DFE62" id="Pentagono 562" o:spid="_x0000_s1026" type="#_x0000_t15" style="position:absolute;margin-left:0;margin-top:3.9pt;width:260.1pt;height:6.05pt;z-index:251628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" adj="21349" fillcolor="#ffd966" strokecolor="#ffd966"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 xml:space="preserve">                                                                           </w:t>
            </w:r>
            <w:r w:rsidR="003F767B">
              <w:rPr>
                <w:sz w:val="18"/>
                <w:szCs w:val="18"/>
              </w:rPr>
              <w:t xml:space="preserve">                              </w:t>
            </w:r>
            <w:r w:rsidRPr="000737D7">
              <w:rPr>
                <w:sz w:val="18"/>
                <w:szCs w:val="18"/>
              </w:rPr>
              <w:t>83</w:t>
            </w:r>
          </w:p>
        </w:tc>
      </w:tr>
      <w:tr w:rsidR="00B10E5E" w:rsidRPr="000737D7" w:rsidTr="004528F9">
        <w:trPr>
          <w:trHeight w:val="57"/>
        </w:trPr>
        <w:tc>
          <w:tcPr>
            <w:tcW w:w="0" w:type="auto"/>
            <w:vMerge/>
            <w:shd w:val="clear" w:color="auto" w:fill="FFD966" w:themeFill="accent4" w:themeFillTint="99"/>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Bolzano</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30592" behindDoc="0" locked="0" layoutInCell="1" allowOverlap="1" wp14:anchorId="4F088F01" wp14:editId="1662FF58">
                      <wp:simplePos x="0" y="0"/>
                      <wp:positionH relativeFrom="margin">
                        <wp:posOffset>0</wp:posOffset>
                      </wp:positionH>
                      <wp:positionV relativeFrom="paragraph">
                        <wp:posOffset>43543</wp:posOffset>
                      </wp:positionV>
                      <wp:extent cx="2865549" cy="76835"/>
                      <wp:effectExtent l="0" t="0" r="30480" b="18415"/>
                      <wp:wrapNone/>
                      <wp:docPr id="563" name="Pentagono 563"/>
                      <wp:cNvGraphicFramePr/>
                      <a:graphic xmlns:a="http://schemas.openxmlformats.org/drawingml/2006/main">
                        <a:graphicData uri="http://schemas.microsoft.com/office/word/2010/wordprocessingShape">
                          <wps:wsp>
                            <wps:cNvSpPr/>
                            <wps:spPr>
                              <a:xfrm>
                                <a:off x="0" y="0"/>
                                <a:ext cx="2865549" cy="76835"/>
                              </a:xfrm>
                              <a:prstGeom prst="homePlat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C0F8C" id="Pentagono 563" o:spid="_x0000_s1026" type="#_x0000_t15" style="position:absolute;margin-left:0;margin-top:3.45pt;width:225.65pt;height:6.0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" adj="21310" fillcolor="#ffd966" strokecolor="#ffd966" strokeweight="1pt">
                      <w10:wrap anchorx="margin"/>
                    </v:shape>
                  </w:pict>
                </mc:Fallback>
              </mc:AlternateContent>
            </w:r>
            <w:r w:rsidRPr="000737D7">
              <w:rPr>
                <w:sz w:val="18"/>
                <w:szCs w:val="18"/>
              </w:rPr>
              <w:t xml:space="preserve">                                                                                          </w:t>
            </w:r>
            <w:r>
              <w:rPr>
                <w:sz w:val="18"/>
                <w:szCs w:val="18"/>
              </w:rPr>
              <w:t xml:space="preserve">                    </w:t>
            </w:r>
            <w:r w:rsidR="003F767B">
              <w:rPr>
                <w:sz w:val="18"/>
                <w:szCs w:val="18"/>
              </w:rPr>
              <w:t xml:space="preserve">   </w:t>
            </w:r>
            <w:r w:rsidRPr="000737D7">
              <w:rPr>
                <w:sz w:val="18"/>
                <w:szCs w:val="18"/>
              </w:rPr>
              <w:t>75</w:t>
            </w:r>
          </w:p>
        </w:tc>
      </w:tr>
      <w:tr w:rsidR="00B10E5E" w:rsidRPr="000737D7" w:rsidTr="004528F9">
        <w:trPr>
          <w:trHeight w:val="57"/>
        </w:trPr>
        <w:tc>
          <w:tcPr>
            <w:tcW w:w="0" w:type="auto"/>
            <w:vMerge/>
            <w:shd w:val="clear" w:color="auto" w:fill="FFD966" w:themeFill="accent4" w:themeFillTint="99"/>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Ferrara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32640" behindDoc="0" locked="0" layoutInCell="1" allowOverlap="1" wp14:anchorId="6EEA8E9C" wp14:editId="376DE6FE">
                      <wp:simplePos x="0" y="0"/>
                      <wp:positionH relativeFrom="margin">
                        <wp:posOffset>0</wp:posOffset>
                      </wp:positionH>
                      <wp:positionV relativeFrom="paragraph">
                        <wp:posOffset>47988</wp:posOffset>
                      </wp:positionV>
                      <wp:extent cx="2865120" cy="76835"/>
                      <wp:effectExtent l="0" t="0" r="30480" b="18415"/>
                      <wp:wrapNone/>
                      <wp:docPr id="564" name="Pentagono 564"/>
                      <wp:cNvGraphicFramePr/>
                      <a:graphic xmlns:a="http://schemas.openxmlformats.org/drawingml/2006/main">
                        <a:graphicData uri="http://schemas.microsoft.com/office/word/2010/wordprocessingShape">
                          <wps:wsp>
                            <wps:cNvSpPr/>
                            <wps:spPr>
                              <a:xfrm>
                                <a:off x="0" y="0"/>
                                <a:ext cx="2865120" cy="76835"/>
                              </a:xfrm>
                              <a:prstGeom prst="homePlat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2645" id="Pentagono 564" o:spid="_x0000_s1026" type="#_x0000_t15" style="position:absolute;margin-left:0;margin-top:3.8pt;width:225.6pt;height:6.0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" adj="21310" fillcolor="#ffd966" strokecolor="#ffd966" strokeweight="1pt">
                      <w10:wrap anchorx="margin"/>
                    </v:shape>
                  </w:pict>
                </mc:Fallback>
              </mc:AlternateContent>
            </w:r>
            <w:r w:rsidRPr="000737D7">
              <w:rPr>
                <w:sz w:val="18"/>
                <w:szCs w:val="18"/>
              </w:rPr>
              <w:t xml:space="preserve">                                                                                          </w:t>
            </w:r>
            <w:r>
              <w:rPr>
                <w:sz w:val="18"/>
                <w:szCs w:val="18"/>
              </w:rPr>
              <w:t xml:space="preserve">                    </w:t>
            </w:r>
            <w:r w:rsidR="003F767B">
              <w:rPr>
                <w:sz w:val="18"/>
                <w:szCs w:val="18"/>
              </w:rPr>
              <w:t xml:space="preserve">   </w:t>
            </w:r>
            <w:r w:rsidRPr="000737D7">
              <w:rPr>
                <w:sz w:val="18"/>
                <w:szCs w:val="18"/>
              </w:rPr>
              <w:t>75</w:t>
            </w:r>
          </w:p>
        </w:tc>
      </w:tr>
      <w:tr w:rsidR="00B10E5E" w:rsidRPr="000737D7" w:rsidTr="004528F9">
        <w:trPr>
          <w:trHeight w:val="57"/>
        </w:trPr>
        <w:tc>
          <w:tcPr>
            <w:tcW w:w="0" w:type="auto"/>
            <w:vMerge/>
            <w:shd w:val="clear" w:color="auto" w:fill="FFD966" w:themeFill="accent4" w:themeFillTint="99"/>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Siena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34688" behindDoc="0" locked="0" layoutInCell="1" allowOverlap="1" wp14:anchorId="0E435C8B" wp14:editId="4941F1CC">
                      <wp:simplePos x="0" y="0"/>
                      <wp:positionH relativeFrom="margin">
                        <wp:posOffset>0</wp:posOffset>
                      </wp:positionH>
                      <wp:positionV relativeFrom="paragraph">
                        <wp:posOffset>49258</wp:posOffset>
                      </wp:positionV>
                      <wp:extent cx="2865120" cy="76835"/>
                      <wp:effectExtent l="0" t="0" r="30480" b="18415"/>
                      <wp:wrapNone/>
                      <wp:docPr id="565" name="Pentagono 565"/>
                      <wp:cNvGraphicFramePr/>
                      <a:graphic xmlns:a="http://schemas.openxmlformats.org/drawingml/2006/main">
                        <a:graphicData uri="http://schemas.microsoft.com/office/word/2010/wordprocessingShape">
                          <wps:wsp>
                            <wps:cNvSpPr/>
                            <wps:spPr>
                              <a:xfrm>
                                <a:off x="0" y="0"/>
                                <a:ext cx="2865120" cy="76835"/>
                              </a:xfrm>
                              <a:prstGeom prst="homePlat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20459" id="Pentagono 565" o:spid="_x0000_s1026" type="#_x0000_t15" style="position:absolute;margin-left:0;margin-top:3.9pt;width:225.6pt;height:6.0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" adj="21310" fillcolor="#ffd966" strokecolor="#ffd966" strokeweight="1pt">
                      <w10:wrap anchorx="margin"/>
                    </v:shape>
                  </w:pict>
                </mc:Fallback>
              </mc:AlternateContent>
            </w:r>
            <w:r w:rsidRPr="000737D7">
              <w:rPr>
                <w:sz w:val="18"/>
                <w:szCs w:val="18"/>
              </w:rPr>
              <w:t xml:space="preserve">                                                                                          </w:t>
            </w:r>
            <w:r>
              <w:rPr>
                <w:sz w:val="18"/>
                <w:szCs w:val="18"/>
              </w:rPr>
              <w:t xml:space="preserve">                    </w:t>
            </w:r>
            <w:r w:rsidR="003F767B">
              <w:rPr>
                <w:sz w:val="18"/>
                <w:szCs w:val="18"/>
              </w:rPr>
              <w:t xml:space="preserve">   </w:t>
            </w:r>
            <w:r w:rsidRPr="000737D7">
              <w:rPr>
                <w:sz w:val="18"/>
                <w:szCs w:val="18"/>
              </w:rPr>
              <w:t>75</w:t>
            </w:r>
          </w:p>
        </w:tc>
      </w:tr>
      <w:tr w:rsidR="00B10E5E" w:rsidRPr="000737D7" w:rsidTr="004528F9">
        <w:trPr>
          <w:trHeight w:val="57"/>
        </w:trPr>
        <w:tc>
          <w:tcPr>
            <w:tcW w:w="0" w:type="auto"/>
            <w:vMerge/>
            <w:shd w:val="clear" w:color="auto" w:fill="FFD966" w:themeFill="accent4" w:themeFillTint="99"/>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Matera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36736" behindDoc="0" locked="0" layoutInCell="1" allowOverlap="1" wp14:anchorId="01E60CE2" wp14:editId="7188F18C">
                      <wp:simplePos x="0" y="0"/>
                      <wp:positionH relativeFrom="margin">
                        <wp:posOffset>0</wp:posOffset>
                      </wp:positionH>
                      <wp:positionV relativeFrom="paragraph">
                        <wp:posOffset>57513</wp:posOffset>
                      </wp:positionV>
                      <wp:extent cx="2865120" cy="76835"/>
                      <wp:effectExtent l="0" t="0" r="30480" b="18415"/>
                      <wp:wrapNone/>
                      <wp:docPr id="566" name="Pentagono 566"/>
                      <wp:cNvGraphicFramePr/>
                      <a:graphic xmlns:a="http://schemas.openxmlformats.org/drawingml/2006/main">
                        <a:graphicData uri="http://schemas.microsoft.com/office/word/2010/wordprocessingShape">
                          <wps:wsp>
                            <wps:cNvSpPr/>
                            <wps:spPr>
                              <a:xfrm>
                                <a:off x="0" y="0"/>
                                <a:ext cx="2865120" cy="76835"/>
                              </a:xfrm>
                              <a:prstGeom prst="homePlat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A1F1D" id="Pentagono 566" o:spid="_x0000_s1026" type="#_x0000_t15" style="position:absolute;margin-left:0;margin-top:4.55pt;width:225.6pt;height:6.0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" adj="21310" fillcolor="#ffd966" strokecolor="#ffd966" strokeweight="1pt">
                      <w10:wrap anchorx="margin"/>
                    </v:shape>
                  </w:pict>
                </mc:Fallback>
              </mc:AlternateContent>
            </w:r>
            <w:r w:rsidRPr="000737D7">
              <w:rPr>
                <w:sz w:val="18"/>
                <w:szCs w:val="18"/>
              </w:rPr>
              <w:t xml:space="preserve">                                                                                          </w:t>
            </w:r>
            <w:r>
              <w:rPr>
                <w:sz w:val="18"/>
                <w:szCs w:val="18"/>
              </w:rPr>
              <w:t xml:space="preserve">                    </w:t>
            </w:r>
            <w:r w:rsidR="003F767B">
              <w:rPr>
                <w:sz w:val="18"/>
                <w:szCs w:val="18"/>
              </w:rPr>
              <w:t xml:space="preserve">   </w:t>
            </w:r>
            <w:r w:rsidRPr="000737D7">
              <w:rPr>
                <w:sz w:val="18"/>
                <w:szCs w:val="18"/>
              </w:rPr>
              <w:t>75</w:t>
            </w:r>
          </w:p>
        </w:tc>
      </w:tr>
      <w:tr w:rsidR="00B10E5E" w:rsidRPr="000737D7" w:rsidTr="004528F9">
        <w:trPr>
          <w:trHeight w:val="57"/>
        </w:trPr>
        <w:tc>
          <w:tcPr>
            <w:tcW w:w="0" w:type="auto"/>
            <w:vMerge/>
            <w:tcBorders>
              <w:bottom w:val="single" w:sz="12" w:space="0" w:color="auto"/>
            </w:tcBorders>
            <w:shd w:val="clear" w:color="auto" w:fill="FFD966" w:themeFill="accent4" w:themeFillTint="99"/>
          </w:tcPr>
          <w:p w:rsidR="00B10E5E" w:rsidRPr="000737D7" w:rsidRDefault="00B10E5E" w:rsidP="0062745E">
            <w:pPr>
              <w:rPr>
                <w:sz w:val="18"/>
                <w:szCs w:val="18"/>
              </w:rPr>
            </w:pPr>
          </w:p>
        </w:tc>
        <w:tc>
          <w:tcPr>
            <w:tcW w:w="0" w:type="auto"/>
            <w:tcBorders>
              <w:bottom w:val="single" w:sz="12" w:space="0" w:color="auto"/>
              <w:right w:val="nil"/>
            </w:tcBorders>
          </w:tcPr>
          <w:p w:rsidR="00B10E5E" w:rsidRPr="000737D7" w:rsidRDefault="00B10E5E" w:rsidP="0062745E">
            <w:pPr>
              <w:rPr>
                <w:sz w:val="18"/>
                <w:szCs w:val="18"/>
              </w:rPr>
            </w:pPr>
            <w:r w:rsidRPr="000737D7">
              <w:rPr>
                <w:sz w:val="18"/>
                <w:szCs w:val="18"/>
              </w:rPr>
              <w:t>Salerno</w:t>
            </w:r>
          </w:p>
        </w:tc>
        <w:tc>
          <w:tcPr>
            <w:tcW w:w="0" w:type="auto"/>
            <w:tcBorders>
              <w:left w:val="nil"/>
              <w:bottom w:val="single" w:sz="12" w:space="0" w:color="auto"/>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38784" behindDoc="0" locked="0" layoutInCell="1" allowOverlap="1" wp14:anchorId="2DA77196" wp14:editId="0BBD5D4A">
                      <wp:simplePos x="0" y="0"/>
                      <wp:positionH relativeFrom="margin">
                        <wp:posOffset>0</wp:posOffset>
                      </wp:positionH>
                      <wp:positionV relativeFrom="paragraph">
                        <wp:posOffset>53703</wp:posOffset>
                      </wp:positionV>
                      <wp:extent cx="2865120" cy="76835"/>
                      <wp:effectExtent l="0" t="0" r="30480" b="18415"/>
                      <wp:wrapNone/>
                      <wp:docPr id="567" name="Pentagono 567"/>
                      <wp:cNvGraphicFramePr/>
                      <a:graphic xmlns:a="http://schemas.openxmlformats.org/drawingml/2006/main">
                        <a:graphicData uri="http://schemas.microsoft.com/office/word/2010/wordprocessingShape">
                          <wps:wsp>
                            <wps:cNvSpPr/>
                            <wps:spPr>
                              <a:xfrm>
                                <a:off x="0" y="0"/>
                                <a:ext cx="2865120" cy="76835"/>
                              </a:xfrm>
                              <a:prstGeom prst="homePlate">
                                <a:avLst/>
                              </a:prstGeom>
                              <a:solidFill>
                                <a:srgbClr val="FFC000">
                                  <a:lumMod val="60000"/>
                                  <a:lumOff val="40000"/>
                                </a:srgb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2547" id="Pentagono 567" o:spid="_x0000_s1026" type="#_x0000_t15" style="position:absolute;margin-left:0;margin-top:4.25pt;width:225.6pt;height:6.0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" adj="21310" fillcolor="#ffd966" strokecolor="#ffd966" strokeweight="1pt">
                      <w10:wrap anchorx="margin"/>
                    </v:shape>
                  </w:pict>
                </mc:Fallback>
              </mc:AlternateContent>
            </w:r>
            <w:r w:rsidRPr="000737D7">
              <w:rPr>
                <w:sz w:val="18"/>
                <w:szCs w:val="18"/>
              </w:rPr>
              <w:t xml:space="preserve">                                                                                          </w:t>
            </w:r>
            <w:r>
              <w:rPr>
                <w:sz w:val="18"/>
                <w:szCs w:val="18"/>
              </w:rPr>
              <w:t xml:space="preserve">                    </w:t>
            </w:r>
            <w:r w:rsidR="003F767B">
              <w:rPr>
                <w:sz w:val="18"/>
                <w:szCs w:val="18"/>
              </w:rPr>
              <w:t xml:space="preserve">   </w:t>
            </w:r>
            <w:r w:rsidRPr="000737D7">
              <w:rPr>
                <w:sz w:val="18"/>
                <w:szCs w:val="18"/>
              </w:rPr>
              <w:t>75</w:t>
            </w:r>
          </w:p>
        </w:tc>
      </w:tr>
      <w:tr w:rsidR="00B10E5E" w:rsidRPr="000737D7" w:rsidTr="004528F9">
        <w:trPr>
          <w:trHeight w:val="57"/>
        </w:trPr>
        <w:tc>
          <w:tcPr>
            <w:tcW w:w="0" w:type="auto"/>
            <w:vMerge w:val="restart"/>
            <w:tcBorders>
              <w:top w:val="single" w:sz="12" w:space="0" w:color="auto"/>
            </w:tcBorders>
            <w:shd w:val="clear" w:color="auto" w:fill="00B050"/>
            <w:textDirection w:val="btLr"/>
            <w:vAlign w:val="center"/>
          </w:tcPr>
          <w:p w:rsidR="00B10E5E" w:rsidRPr="00C46651" w:rsidRDefault="00B10E5E" w:rsidP="0062745E">
            <w:pPr>
              <w:ind w:left="113" w:right="113"/>
              <w:jc w:val="center"/>
              <w:rPr>
                <w:b/>
                <w:sz w:val="18"/>
                <w:szCs w:val="18"/>
              </w:rPr>
            </w:pPr>
            <w:r w:rsidRPr="004528F9">
              <w:rPr>
                <w:b/>
                <w:color w:val="FFFFFF" w:themeColor="background1"/>
                <w:sz w:val="18"/>
                <w:szCs w:val="18"/>
              </w:rPr>
              <w:t>Smeraldi</w:t>
            </w:r>
          </w:p>
        </w:tc>
        <w:tc>
          <w:tcPr>
            <w:tcW w:w="0" w:type="auto"/>
            <w:tcBorders>
              <w:top w:val="single" w:sz="12" w:space="0" w:color="auto"/>
              <w:right w:val="nil"/>
            </w:tcBorders>
          </w:tcPr>
          <w:p w:rsidR="00B10E5E" w:rsidRPr="000737D7" w:rsidRDefault="00B10E5E" w:rsidP="0062745E">
            <w:pPr>
              <w:rPr>
                <w:sz w:val="18"/>
                <w:szCs w:val="18"/>
              </w:rPr>
            </w:pPr>
            <w:r w:rsidRPr="000737D7">
              <w:rPr>
                <w:sz w:val="18"/>
                <w:szCs w:val="18"/>
              </w:rPr>
              <w:t>Bologna</w:t>
            </w:r>
          </w:p>
        </w:tc>
        <w:tc>
          <w:tcPr>
            <w:tcW w:w="0" w:type="auto"/>
            <w:tcBorders>
              <w:top w:val="single" w:sz="12" w:space="0" w:color="auto"/>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40832" behindDoc="0" locked="0" layoutInCell="1" allowOverlap="1" wp14:anchorId="7AB09288" wp14:editId="62F26384">
                      <wp:simplePos x="0" y="0"/>
                      <wp:positionH relativeFrom="margin">
                        <wp:align>left</wp:align>
                      </wp:positionH>
                      <wp:positionV relativeFrom="paragraph">
                        <wp:posOffset>51798</wp:posOffset>
                      </wp:positionV>
                      <wp:extent cx="2575775" cy="76835"/>
                      <wp:effectExtent l="0" t="0" r="34290" b="18415"/>
                      <wp:wrapNone/>
                      <wp:docPr id="568" name="Pentagono 568"/>
                      <wp:cNvGraphicFramePr/>
                      <a:graphic xmlns:a="http://schemas.openxmlformats.org/drawingml/2006/main">
                        <a:graphicData uri="http://schemas.microsoft.com/office/word/2010/wordprocessingShape">
                          <wps:wsp>
                            <wps:cNvSpPr/>
                            <wps:spPr>
                              <a:xfrm>
                                <a:off x="0" y="0"/>
                                <a:ext cx="2575775" cy="76835"/>
                              </a:xfrm>
                              <a:prstGeom prst="homePlat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54090" id="Pentagono 568" o:spid="_x0000_s1026" type="#_x0000_t15" style="position:absolute;margin-left:0;margin-top:4.1pt;width:202.8pt;height:6.0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" adj="21278" fillcolor="#00b050" strokecolor="#00b050" strokeweight="1pt">
                      <w10:wrap anchorx="margin"/>
                    </v:shape>
                  </w:pict>
                </mc:Fallback>
              </mc:AlternateContent>
            </w:r>
            <w:r w:rsidRPr="000737D7">
              <w:rPr>
                <w:sz w:val="18"/>
                <w:szCs w:val="18"/>
              </w:rPr>
              <w:t xml:space="preserve">                                                                                     </w:t>
            </w:r>
            <w:r w:rsidR="00800401">
              <w:rPr>
                <w:sz w:val="18"/>
                <w:szCs w:val="18"/>
              </w:rPr>
              <w:t xml:space="preserve">                </w:t>
            </w:r>
            <w:r w:rsidRPr="000737D7">
              <w:rPr>
                <w:sz w:val="18"/>
                <w:szCs w:val="18"/>
              </w:rPr>
              <w:t>67</w:t>
            </w:r>
          </w:p>
        </w:tc>
      </w:tr>
      <w:tr w:rsidR="00B10E5E" w:rsidRPr="000737D7" w:rsidTr="004528F9">
        <w:trPr>
          <w:trHeight w:val="57"/>
        </w:trPr>
        <w:tc>
          <w:tcPr>
            <w:tcW w:w="0" w:type="auto"/>
            <w:vMerge/>
            <w:shd w:val="clear" w:color="auto" w:fill="00B050"/>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Bergamo</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42880" behindDoc="0" locked="0" layoutInCell="1" allowOverlap="1" wp14:anchorId="07E09F64" wp14:editId="4F4F6A09">
                      <wp:simplePos x="0" y="0"/>
                      <wp:positionH relativeFrom="margin">
                        <wp:posOffset>0</wp:posOffset>
                      </wp:positionH>
                      <wp:positionV relativeFrom="paragraph">
                        <wp:posOffset>42545</wp:posOffset>
                      </wp:positionV>
                      <wp:extent cx="2575560" cy="76835"/>
                      <wp:effectExtent l="0" t="0" r="34290" b="18415"/>
                      <wp:wrapNone/>
                      <wp:docPr id="569" name="Pentagono 569"/>
                      <wp:cNvGraphicFramePr/>
                      <a:graphic xmlns:a="http://schemas.openxmlformats.org/drawingml/2006/main">
                        <a:graphicData uri="http://schemas.microsoft.com/office/word/2010/wordprocessingShape">
                          <wps:wsp>
                            <wps:cNvSpPr/>
                            <wps:spPr>
                              <a:xfrm>
                                <a:off x="0" y="0"/>
                                <a:ext cx="2575560" cy="76835"/>
                              </a:xfrm>
                              <a:prstGeom prst="homePlat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60DD2" id="Pentagono 569" o:spid="_x0000_s1026" type="#_x0000_t15" style="position:absolute;margin-left:0;margin-top:3.35pt;width:202.8pt;height:6.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" adj="21278" fillcolor="#00b050" strokecolor="#00b050" strokeweight="1pt">
                      <w10:wrap anchorx="margin"/>
                    </v:shape>
                  </w:pict>
                </mc:Fallback>
              </mc:AlternateContent>
            </w:r>
            <w:r w:rsidRPr="000737D7">
              <w:rPr>
                <w:sz w:val="18"/>
                <w:szCs w:val="18"/>
              </w:rPr>
              <w:t xml:space="preserve">                                                                                     </w:t>
            </w:r>
            <w:r w:rsidR="00800401">
              <w:rPr>
                <w:sz w:val="18"/>
                <w:szCs w:val="18"/>
              </w:rPr>
              <w:t xml:space="preserve">                </w:t>
            </w:r>
            <w:r w:rsidRPr="000737D7">
              <w:rPr>
                <w:sz w:val="18"/>
                <w:szCs w:val="18"/>
              </w:rPr>
              <w:t>67</w:t>
            </w:r>
          </w:p>
        </w:tc>
      </w:tr>
      <w:tr w:rsidR="00B10E5E" w:rsidRPr="000737D7" w:rsidTr="004528F9">
        <w:trPr>
          <w:trHeight w:val="57"/>
        </w:trPr>
        <w:tc>
          <w:tcPr>
            <w:tcW w:w="0" w:type="auto"/>
            <w:vMerge/>
            <w:shd w:val="clear" w:color="auto" w:fill="00B050"/>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Padova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44928" behindDoc="0" locked="0" layoutInCell="1" allowOverlap="1" wp14:anchorId="34A3C9A4" wp14:editId="0A7B6169">
                      <wp:simplePos x="0" y="0"/>
                      <wp:positionH relativeFrom="margin">
                        <wp:posOffset>0</wp:posOffset>
                      </wp:positionH>
                      <wp:positionV relativeFrom="paragraph">
                        <wp:posOffset>39370</wp:posOffset>
                      </wp:positionV>
                      <wp:extent cx="2575560" cy="76835"/>
                      <wp:effectExtent l="0" t="0" r="34290" b="18415"/>
                      <wp:wrapNone/>
                      <wp:docPr id="31" name="Pentagono 31"/>
                      <wp:cNvGraphicFramePr/>
                      <a:graphic xmlns:a="http://schemas.openxmlformats.org/drawingml/2006/main">
                        <a:graphicData uri="http://schemas.microsoft.com/office/word/2010/wordprocessingShape">
                          <wps:wsp>
                            <wps:cNvSpPr/>
                            <wps:spPr>
                              <a:xfrm>
                                <a:off x="0" y="0"/>
                                <a:ext cx="2575560" cy="76835"/>
                              </a:xfrm>
                              <a:prstGeom prst="homePlat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C252B" id="Pentagono 31" o:spid="_x0000_s1026" type="#_x0000_t15" style="position:absolute;margin-left:0;margin-top:3.1pt;width:202.8pt;height:6.0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" adj="21278" fillcolor="#00b050" strokecolor="#00b050" strokeweight="1pt">
                      <w10:wrap anchorx="margin"/>
                    </v:shape>
                  </w:pict>
                </mc:Fallback>
              </mc:AlternateContent>
            </w:r>
            <w:r w:rsidRPr="000737D7">
              <w:rPr>
                <w:sz w:val="18"/>
                <w:szCs w:val="18"/>
              </w:rPr>
              <w:t xml:space="preserve">                                                                                     </w:t>
            </w:r>
            <w:r w:rsidR="00800401">
              <w:rPr>
                <w:sz w:val="18"/>
                <w:szCs w:val="18"/>
              </w:rPr>
              <w:t xml:space="preserve">                </w:t>
            </w:r>
            <w:r w:rsidRPr="000737D7">
              <w:rPr>
                <w:sz w:val="18"/>
                <w:szCs w:val="18"/>
              </w:rPr>
              <w:t>67</w:t>
            </w:r>
          </w:p>
        </w:tc>
      </w:tr>
      <w:tr w:rsidR="00B10E5E" w:rsidRPr="000737D7" w:rsidTr="004528F9">
        <w:trPr>
          <w:trHeight w:val="57"/>
        </w:trPr>
        <w:tc>
          <w:tcPr>
            <w:tcW w:w="0" w:type="auto"/>
            <w:vMerge/>
            <w:shd w:val="clear" w:color="auto" w:fill="00B050"/>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Trento</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46976" behindDoc="0" locked="0" layoutInCell="1" allowOverlap="1" wp14:anchorId="3A54C1E7" wp14:editId="609F7CB4">
                      <wp:simplePos x="0" y="0"/>
                      <wp:positionH relativeFrom="margin">
                        <wp:posOffset>0</wp:posOffset>
                      </wp:positionH>
                      <wp:positionV relativeFrom="paragraph">
                        <wp:posOffset>38735</wp:posOffset>
                      </wp:positionV>
                      <wp:extent cx="2575560" cy="76835"/>
                      <wp:effectExtent l="0" t="0" r="34290" b="18415"/>
                      <wp:wrapNone/>
                      <wp:docPr id="32" name="Pentagono 32"/>
                      <wp:cNvGraphicFramePr/>
                      <a:graphic xmlns:a="http://schemas.openxmlformats.org/drawingml/2006/main">
                        <a:graphicData uri="http://schemas.microsoft.com/office/word/2010/wordprocessingShape">
                          <wps:wsp>
                            <wps:cNvSpPr/>
                            <wps:spPr>
                              <a:xfrm>
                                <a:off x="0" y="0"/>
                                <a:ext cx="2575560" cy="76835"/>
                              </a:xfrm>
                              <a:prstGeom prst="homePlat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BFE7A" id="Pentagono 32" o:spid="_x0000_s1026" type="#_x0000_t15" style="position:absolute;margin-left:0;margin-top:3.05pt;width:202.8pt;height:6.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" adj="21278" fillcolor="#00b050" strokecolor="#00b050" strokeweight="1pt">
                      <w10:wrap anchorx="margin"/>
                    </v:shape>
                  </w:pict>
                </mc:Fallback>
              </mc:AlternateContent>
            </w:r>
            <w:r w:rsidRPr="000737D7">
              <w:rPr>
                <w:sz w:val="18"/>
                <w:szCs w:val="18"/>
              </w:rPr>
              <w:t xml:space="preserve">                                                                                     </w:t>
            </w:r>
            <w:r w:rsidR="00800401">
              <w:rPr>
                <w:sz w:val="18"/>
                <w:szCs w:val="18"/>
              </w:rPr>
              <w:t xml:space="preserve">                </w:t>
            </w:r>
            <w:r w:rsidRPr="000737D7">
              <w:rPr>
                <w:sz w:val="18"/>
                <w:szCs w:val="18"/>
              </w:rPr>
              <w:t>67</w:t>
            </w:r>
          </w:p>
        </w:tc>
      </w:tr>
      <w:tr w:rsidR="00B10E5E" w:rsidRPr="000737D7" w:rsidTr="004528F9">
        <w:trPr>
          <w:trHeight w:val="57"/>
        </w:trPr>
        <w:tc>
          <w:tcPr>
            <w:tcW w:w="0" w:type="auto"/>
            <w:vMerge/>
            <w:shd w:val="clear" w:color="auto" w:fill="00B050"/>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Catania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65408" behindDoc="0" locked="0" layoutInCell="1" allowOverlap="1" wp14:anchorId="617FF1A9" wp14:editId="0466CC4C">
                      <wp:simplePos x="0" y="0"/>
                      <wp:positionH relativeFrom="margin">
                        <wp:posOffset>0</wp:posOffset>
                      </wp:positionH>
                      <wp:positionV relativeFrom="paragraph">
                        <wp:posOffset>33020</wp:posOffset>
                      </wp:positionV>
                      <wp:extent cx="2575560" cy="76835"/>
                      <wp:effectExtent l="0" t="0" r="34290" b="18415"/>
                      <wp:wrapNone/>
                      <wp:docPr id="33" name="Pentagono 33"/>
                      <wp:cNvGraphicFramePr/>
                      <a:graphic xmlns:a="http://schemas.openxmlformats.org/drawingml/2006/main">
                        <a:graphicData uri="http://schemas.microsoft.com/office/word/2010/wordprocessingShape">
                          <wps:wsp>
                            <wps:cNvSpPr/>
                            <wps:spPr>
                              <a:xfrm>
                                <a:off x="0" y="0"/>
                                <a:ext cx="2575560" cy="76835"/>
                              </a:xfrm>
                              <a:prstGeom prst="homePlat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65F6" id="Pentagono 33" o:spid="_x0000_s1026" type="#_x0000_t15" style="position:absolute;margin-left:0;margin-top:2.6pt;width:202.8pt;height:6.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" adj="21278" fillcolor="#00b050" strokecolor="#00b050" strokeweight="1pt">
                      <w10:wrap anchorx="margin"/>
                    </v:shape>
                  </w:pict>
                </mc:Fallback>
              </mc:AlternateContent>
            </w:r>
            <w:r w:rsidRPr="000737D7">
              <w:rPr>
                <w:sz w:val="18"/>
                <w:szCs w:val="18"/>
              </w:rPr>
              <w:t xml:space="preserve">                                                                                     </w:t>
            </w:r>
            <w:r w:rsidR="00800401">
              <w:rPr>
                <w:sz w:val="18"/>
                <w:szCs w:val="18"/>
              </w:rPr>
              <w:t xml:space="preserve">                </w:t>
            </w:r>
            <w:r w:rsidRPr="000737D7">
              <w:rPr>
                <w:sz w:val="18"/>
                <w:szCs w:val="18"/>
              </w:rPr>
              <w:t>67</w:t>
            </w:r>
          </w:p>
        </w:tc>
      </w:tr>
      <w:tr w:rsidR="00B10E5E" w:rsidRPr="000737D7" w:rsidTr="004528F9">
        <w:trPr>
          <w:trHeight w:val="57"/>
        </w:trPr>
        <w:tc>
          <w:tcPr>
            <w:tcW w:w="0" w:type="auto"/>
            <w:vMerge/>
            <w:shd w:val="clear" w:color="auto" w:fill="00B050"/>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Pisa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69504" behindDoc="0" locked="0" layoutInCell="1" allowOverlap="1" wp14:anchorId="76B8224C" wp14:editId="1108C1A3">
                      <wp:simplePos x="0" y="0"/>
                      <wp:positionH relativeFrom="margin">
                        <wp:posOffset>0</wp:posOffset>
                      </wp:positionH>
                      <wp:positionV relativeFrom="paragraph">
                        <wp:posOffset>34290</wp:posOffset>
                      </wp:positionV>
                      <wp:extent cx="2575560" cy="76835"/>
                      <wp:effectExtent l="0" t="0" r="34290" b="18415"/>
                      <wp:wrapNone/>
                      <wp:docPr id="34" name="Pentagono 34"/>
                      <wp:cNvGraphicFramePr/>
                      <a:graphic xmlns:a="http://schemas.openxmlformats.org/drawingml/2006/main">
                        <a:graphicData uri="http://schemas.microsoft.com/office/word/2010/wordprocessingShape">
                          <wps:wsp>
                            <wps:cNvSpPr/>
                            <wps:spPr>
                              <a:xfrm>
                                <a:off x="0" y="0"/>
                                <a:ext cx="2575560" cy="76835"/>
                              </a:xfrm>
                              <a:prstGeom prst="homePlat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827E7" id="Pentagono 34" o:spid="_x0000_s1026" type="#_x0000_t15" style="position:absolute;margin-left:0;margin-top:2.7pt;width:202.8pt;height:6.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" adj="21278" fillcolor="#00b050" strokecolor="#00b050" strokeweight="1pt">
                      <w10:wrap anchorx="margin"/>
                    </v:shape>
                  </w:pict>
                </mc:Fallback>
              </mc:AlternateContent>
            </w:r>
            <w:r w:rsidRPr="000737D7">
              <w:rPr>
                <w:sz w:val="18"/>
                <w:szCs w:val="18"/>
              </w:rPr>
              <w:t xml:space="preserve">                                                                                     </w:t>
            </w:r>
            <w:r w:rsidR="00800401">
              <w:rPr>
                <w:sz w:val="18"/>
                <w:szCs w:val="18"/>
              </w:rPr>
              <w:t xml:space="preserve">                </w:t>
            </w:r>
            <w:r w:rsidRPr="000737D7">
              <w:rPr>
                <w:sz w:val="18"/>
                <w:szCs w:val="18"/>
              </w:rPr>
              <w:t>67</w:t>
            </w:r>
          </w:p>
        </w:tc>
      </w:tr>
      <w:tr w:rsidR="00B10E5E" w:rsidRPr="000737D7" w:rsidTr="004528F9">
        <w:trPr>
          <w:trHeight w:val="57"/>
        </w:trPr>
        <w:tc>
          <w:tcPr>
            <w:tcW w:w="0" w:type="auto"/>
            <w:vMerge/>
            <w:shd w:val="clear" w:color="auto" w:fill="00B050"/>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Pavia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71552" behindDoc="0" locked="0" layoutInCell="1" allowOverlap="1" wp14:anchorId="17F93FA4" wp14:editId="500B3D9C">
                      <wp:simplePos x="0" y="0"/>
                      <wp:positionH relativeFrom="margin">
                        <wp:posOffset>0</wp:posOffset>
                      </wp:positionH>
                      <wp:positionV relativeFrom="paragraph">
                        <wp:posOffset>40640</wp:posOffset>
                      </wp:positionV>
                      <wp:extent cx="2575560" cy="76835"/>
                      <wp:effectExtent l="0" t="0" r="34290" b="18415"/>
                      <wp:wrapNone/>
                      <wp:docPr id="35" name="Pentagono 35"/>
                      <wp:cNvGraphicFramePr/>
                      <a:graphic xmlns:a="http://schemas.openxmlformats.org/drawingml/2006/main">
                        <a:graphicData uri="http://schemas.microsoft.com/office/word/2010/wordprocessingShape">
                          <wps:wsp>
                            <wps:cNvSpPr/>
                            <wps:spPr>
                              <a:xfrm>
                                <a:off x="0" y="0"/>
                                <a:ext cx="2575560" cy="76835"/>
                              </a:xfrm>
                              <a:prstGeom prst="homePlat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C2493" id="Pentagono 35" o:spid="_x0000_s1026" type="#_x0000_t15" style="position:absolute;margin-left:0;margin-top:3.2pt;width:202.8pt;height:6.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" adj="21278" fillcolor="#00b050" strokecolor="#00b050" strokeweight="1pt">
                      <w10:wrap anchorx="margin"/>
                    </v:shape>
                  </w:pict>
                </mc:Fallback>
              </mc:AlternateContent>
            </w:r>
            <w:r w:rsidRPr="000737D7">
              <w:rPr>
                <w:sz w:val="18"/>
                <w:szCs w:val="18"/>
              </w:rPr>
              <w:t xml:space="preserve">                                                                                     </w:t>
            </w:r>
            <w:r w:rsidR="00800401">
              <w:rPr>
                <w:sz w:val="18"/>
                <w:szCs w:val="18"/>
              </w:rPr>
              <w:t xml:space="preserve">                </w:t>
            </w:r>
            <w:r w:rsidRPr="000737D7">
              <w:rPr>
                <w:sz w:val="18"/>
                <w:szCs w:val="18"/>
              </w:rPr>
              <w:t>67</w:t>
            </w:r>
          </w:p>
        </w:tc>
      </w:tr>
      <w:tr w:rsidR="00B10E5E" w:rsidRPr="000737D7" w:rsidTr="004528F9">
        <w:trPr>
          <w:trHeight w:val="57"/>
        </w:trPr>
        <w:tc>
          <w:tcPr>
            <w:tcW w:w="0" w:type="auto"/>
            <w:vMerge/>
            <w:shd w:val="clear" w:color="auto" w:fill="00B050"/>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Piacenza</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75648" behindDoc="0" locked="0" layoutInCell="1" allowOverlap="1" wp14:anchorId="5A476B01" wp14:editId="00E0DD55">
                      <wp:simplePos x="0" y="0"/>
                      <wp:positionH relativeFrom="margin">
                        <wp:posOffset>0</wp:posOffset>
                      </wp:positionH>
                      <wp:positionV relativeFrom="paragraph">
                        <wp:posOffset>35560</wp:posOffset>
                      </wp:positionV>
                      <wp:extent cx="2575560" cy="76835"/>
                      <wp:effectExtent l="0" t="0" r="34290" b="18415"/>
                      <wp:wrapNone/>
                      <wp:docPr id="36" name="Pentagono 36"/>
                      <wp:cNvGraphicFramePr/>
                      <a:graphic xmlns:a="http://schemas.openxmlformats.org/drawingml/2006/main">
                        <a:graphicData uri="http://schemas.microsoft.com/office/word/2010/wordprocessingShape">
                          <wps:wsp>
                            <wps:cNvSpPr/>
                            <wps:spPr>
                              <a:xfrm>
                                <a:off x="0" y="0"/>
                                <a:ext cx="2575560" cy="76835"/>
                              </a:xfrm>
                              <a:prstGeom prst="homePlat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6CD4" id="Pentagono 36" o:spid="_x0000_s1026" type="#_x0000_t15" style="position:absolute;margin-left:0;margin-top:2.8pt;width:202.8pt;height:6.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" adj="21278" fillcolor="#00b050" strokecolor="#00b050" strokeweight="1pt">
                      <w10:wrap anchorx="margin"/>
                    </v:shape>
                  </w:pict>
                </mc:Fallback>
              </mc:AlternateContent>
            </w:r>
            <w:r w:rsidRPr="000737D7">
              <w:rPr>
                <w:sz w:val="18"/>
                <w:szCs w:val="18"/>
              </w:rPr>
              <w:t xml:space="preserve">                                                                                </w:t>
            </w:r>
            <w:r w:rsidR="00800401">
              <w:rPr>
                <w:sz w:val="18"/>
                <w:szCs w:val="18"/>
              </w:rPr>
              <w:t xml:space="preserve">                     </w:t>
            </w:r>
            <w:r>
              <w:rPr>
                <w:sz w:val="18"/>
                <w:szCs w:val="18"/>
              </w:rPr>
              <w:t>6</w:t>
            </w:r>
            <w:r w:rsidRPr="000737D7">
              <w:rPr>
                <w:sz w:val="18"/>
                <w:szCs w:val="18"/>
              </w:rPr>
              <w:t>7</w:t>
            </w:r>
          </w:p>
        </w:tc>
      </w:tr>
      <w:tr w:rsidR="00B10E5E" w:rsidRPr="000737D7" w:rsidTr="004528F9">
        <w:trPr>
          <w:trHeight w:val="57"/>
        </w:trPr>
        <w:tc>
          <w:tcPr>
            <w:tcW w:w="0" w:type="auto"/>
            <w:vMerge/>
            <w:tcBorders>
              <w:bottom w:val="single" w:sz="12" w:space="0" w:color="auto"/>
            </w:tcBorders>
            <w:shd w:val="clear" w:color="auto" w:fill="00B050"/>
          </w:tcPr>
          <w:p w:rsidR="00B10E5E" w:rsidRPr="00C46651" w:rsidRDefault="00B10E5E" w:rsidP="0062745E">
            <w:pPr>
              <w:rPr>
                <w:b/>
                <w:sz w:val="18"/>
                <w:szCs w:val="18"/>
              </w:rPr>
            </w:pPr>
          </w:p>
        </w:tc>
        <w:tc>
          <w:tcPr>
            <w:tcW w:w="0" w:type="auto"/>
            <w:tcBorders>
              <w:bottom w:val="single" w:sz="12" w:space="0" w:color="auto"/>
              <w:right w:val="nil"/>
            </w:tcBorders>
          </w:tcPr>
          <w:p w:rsidR="00B10E5E" w:rsidRPr="000737D7" w:rsidRDefault="00B10E5E" w:rsidP="0062745E">
            <w:pPr>
              <w:rPr>
                <w:sz w:val="18"/>
                <w:szCs w:val="18"/>
              </w:rPr>
            </w:pPr>
            <w:r w:rsidRPr="000737D7">
              <w:rPr>
                <w:sz w:val="18"/>
                <w:szCs w:val="18"/>
              </w:rPr>
              <w:t>Pesaro</w:t>
            </w:r>
          </w:p>
        </w:tc>
        <w:tc>
          <w:tcPr>
            <w:tcW w:w="0" w:type="auto"/>
            <w:tcBorders>
              <w:left w:val="nil"/>
              <w:bottom w:val="single" w:sz="12" w:space="0" w:color="auto"/>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77696" behindDoc="0" locked="0" layoutInCell="1" allowOverlap="1" wp14:anchorId="4D97C2CC" wp14:editId="5218D970">
                      <wp:simplePos x="0" y="0"/>
                      <wp:positionH relativeFrom="margin">
                        <wp:posOffset>0</wp:posOffset>
                      </wp:positionH>
                      <wp:positionV relativeFrom="paragraph">
                        <wp:posOffset>38100</wp:posOffset>
                      </wp:positionV>
                      <wp:extent cx="2575560" cy="76835"/>
                      <wp:effectExtent l="0" t="0" r="34290" b="18415"/>
                      <wp:wrapNone/>
                      <wp:docPr id="37" name="Pentagono 37"/>
                      <wp:cNvGraphicFramePr/>
                      <a:graphic xmlns:a="http://schemas.openxmlformats.org/drawingml/2006/main">
                        <a:graphicData uri="http://schemas.microsoft.com/office/word/2010/wordprocessingShape">
                          <wps:wsp>
                            <wps:cNvSpPr/>
                            <wps:spPr>
                              <a:xfrm>
                                <a:off x="0" y="0"/>
                                <a:ext cx="2575560" cy="76835"/>
                              </a:xfrm>
                              <a:prstGeom prst="homePlat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46A5F" id="Pentagono 37" o:spid="_x0000_s1026" type="#_x0000_t15" style="position:absolute;margin-left:0;margin-top:3pt;width:202.8pt;height:6.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" adj="21278" fillcolor="#00b050" strokecolor="#00b050" strokeweight="1pt">
                      <w10:wrap anchorx="margin"/>
                    </v:shape>
                  </w:pict>
                </mc:Fallback>
              </mc:AlternateContent>
            </w:r>
            <w:r w:rsidRPr="000737D7">
              <w:rPr>
                <w:sz w:val="18"/>
                <w:szCs w:val="18"/>
              </w:rPr>
              <w:t xml:space="preserve">                                                                                   </w:t>
            </w:r>
            <w:r w:rsidR="00800401">
              <w:rPr>
                <w:sz w:val="18"/>
                <w:szCs w:val="18"/>
              </w:rPr>
              <w:t xml:space="preserve">                  </w:t>
            </w:r>
            <w:r w:rsidRPr="000737D7">
              <w:rPr>
                <w:sz w:val="18"/>
                <w:szCs w:val="18"/>
              </w:rPr>
              <w:t>67</w:t>
            </w:r>
          </w:p>
        </w:tc>
      </w:tr>
      <w:tr w:rsidR="00B10E5E" w:rsidRPr="000737D7" w:rsidTr="004528F9">
        <w:trPr>
          <w:trHeight w:val="57"/>
        </w:trPr>
        <w:tc>
          <w:tcPr>
            <w:tcW w:w="0" w:type="auto"/>
            <w:vMerge w:val="restart"/>
            <w:tcBorders>
              <w:top w:val="single" w:sz="12" w:space="0" w:color="auto"/>
            </w:tcBorders>
            <w:shd w:val="clear" w:color="auto" w:fill="5B9BD5" w:themeFill="accent1"/>
            <w:textDirection w:val="btLr"/>
            <w:vAlign w:val="center"/>
          </w:tcPr>
          <w:p w:rsidR="00B10E5E" w:rsidRPr="004528F9" w:rsidRDefault="00B10E5E" w:rsidP="0062745E">
            <w:pPr>
              <w:ind w:left="113" w:right="113"/>
              <w:jc w:val="center"/>
              <w:rPr>
                <w:b/>
                <w:color w:val="FFFFFF" w:themeColor="background1"/>
                <w:sz w:val="18"/>
                <w:szCs w:val="18"/>
              </w:rPr>
            </w:pPr>
            <w:r w:rsidRPr="004528F9">
              <w:rPr>
                <w:b/>
                <w:color w:val="FFFFFF" w:themeColor="background1"/>
                <w:sz w:val="18"/>
                <w:szCs w:val="18"/>
              </w:rPr>
              <w:t>Zinchi</w:t>
            </w:r>
          </w:p>
        </w:tc>
        <w:tc>
          <w:tcPr>
            <w:tcW w:w="0" w:type="auto"/>
            <w:tcBorders>
              <w:top w:val="single" w:sz="12" w:space="0" w:color="auto"/>
              <w:right w:val="nil"/>
            </w:tcBorders>
          </w:tcPr>
          <w:p w:rsidR="00B10E5E" w:rsidRPr="000737D7" w:rsidRDefault="00B10E5E" w:rsidP="0062745E">
            <w:pPr>
              <w:rPr>
                <w:sz w:val="18"/>
                <w:szCs w:val="18"/>
              </w:rPr>
            </w:pPr>
            <w:r w:rsidRPr="000737D7">
              <w:rPr>
                <w:sz w:val="18"/>
                <w:szCs w:val="18"/>
              </w:rPr>
              <w:t>Torino</w:t>
            </w:r>
          </w:p>
        </w:tc>
        <w:tc>
          <w:tcPr>
            <w:tcW w:w="0" w:type="auto"/>
            <w:tcBorders>
              <w:top w:val="single" w:sz="12" w:space="0" w:color="auto"/>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79744" behindDoc="0" locked="0" layoutInCell="1" allowOverlap="1" wp14:anchorId="1E5A6E03" wp14:editId="0E3B3824">
                      <wp:simplePos x="0" y="0"/>
                      <wp:positionH relativeFrom="margin">
                        <wp:posOffset>0</wp:posOffset>
                      </wp:positionH>
                      <wp:positionV relativeFrom="paragraph">
                        <wp:posOffset>45720</wp:posOffset>
                      </wp:positionV>
                      <wp:extent cx="2243016" cy="76835"/>
                      <wp:effectExtent l="0" t="0" r="43180" b="18415"/>
                      <wp:wrapNone/>
                      <wp:docPr id="38" name="Pentagono 38"/>
                      <wp:cNvGraphicFramePr/>
                      <a:graphic xmlns:a="http://schemas.openxmlformats.org/drawingml/2006/main">
                        <a:graphicData uri="http://schemas.microsoft.com/office/word/2010/wordprocessingShape">
                          <wps:wsp>
                            <wps:cNvSpPr/>
                            <wps:spPr>
                              <a:xfrm>
                                <a:off x="0" y="0"/>
                                <a:ext cx="2243016" cy="76835"/>
                              </a:xfrm>
                              <a:prstGeom prst="homePlate">
                                <a:avLst/>
                              </a:prstGeom>
                              <a:solidFill>
                                <a:schemeClr val="accent1"/>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4F75" id="Pentagono 38" o:spid="_x0000_s1026" type="#_x0000_t15" style="position:absolute;margin-left:0;margin-top:3.6pt;width:176.6pt;height:6.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" adj="21230" fillcolor="#5b9bd5 [3204]" strokecolor="#5b9bd5 [3204]"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58</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Palermo</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81792" behindDoc="0" locked="0" layoutInCell="1" allowOverlap="1" wp14:anchorId="10E588C2" wp14:editId="50BC3F7C">
                      <wp:simplePos x="0" y="0"/>
                      <wp:positionH relativeFrom="margin">
                        <wp:posOffset>0</wp:posOffset>
                      </wp:positionH>
                      <wp:positionV relativeFrom="paragraph">
                        <wp:posOffset>44450</wp:posOffset>
                      </wp:positionV>
                      <wp:extent cx="2242820" cy="76835"/>
                      <wp:effectExtent l="0" t="0" r="43180" b="18415"/>
                      <wp:wrapNone/>
                      <wp:docPr id="39" name="Pentagono 39"/>
                      <wp:cNvGraphicFramePr/>
                      <a:graphic xmlns:a="http://schemas.openxmlformats.org/drawingml/2006/main">
                        <a:graphicData uri="http://schemas.microsoft.com/office/word/2010/wordprocessingShape">
                          <wps:wsp>
                            <wps:cNvSpPr/>
                            <wps:spPr>
                              <a:xfrm>
                                <a:off x="0" y="0"/>
                                <a:ext cx="224282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DC61" id="Pentagono 39" o:spid="_x0000_s1026" type="#_x0000_t15" style="position:absolute;margin-left:0;margin-top:3.5pt;width:176.6pt;height:6.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" adj="21230" fillcolor="#5b9bd5" strokecolor="#5b9bd5" strokeweight="1pt">
                      <w10:wrap anchorx="margin"/>
                    </v:shape>
                  </w:pict>
                </mc:Fallback>
              </mc:AlternateContent>
            </w:r>
            <w:r w:rsidRPr="000737D7">
              <w:rPr>
                <w:sz w:val="18"/>
                <w:szCs w:val="18"/>
              </w:rPr>
              <w:t xml:space="preserve">                                                                       </w:t>
            </w:r>
            <w:r>
              <w:rPr>
                <w:sz w:val="18"/>
                <w:szCs w:val="18"/>
              </w:rPr>
              <w:t xml:space="preserve">               </w:t>
            </w:r>
            <w:r w:rsidR="00D20072">
              <w:rPr>
                <w:sz w:val="18"/>
                <w:szCs w:val="18"/>
              </w:rPr>
              <w:t xml:space="preserve">   </w:t>
            </w:r>
            <w:r w:rsidRPr="000737D7">
              <w:rPr>
                <w:sz w:val="18"/>
                <w:szCs w:val="18"/>
              </w:rPr>
              <w:t>58</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Varese</w:t>
            </w:r>
          </w:p>
        </w:tc>
        <w:tc>
          <w:tcPr>
            <w:tcW w:w="0" w:type="auto"/>
            <w:tcBorders>
              <w:left w:val="nil"/>
            </w:tcBorders>
          </w:tcPr>
          <w:p w:rsidR="00B10E5E" w:rsidRPr="000737D7" w:rsidRDefault="00B10E5E" w:rsidP="0062745E">
            <w:pPr>
              <w:rPr>
                <w:sz w:val="18"/>
                <w:szCs w:val="18"/>
              </w:rPr>
            </w:pPr>
            <w:r w:rsidRPr="000737D7">
              <w:rPr>
                <w:noProof/>
                <w:sz w:val="18"/>
                <w:szCs w:val="18"/>
                <w:lang w:eastAsia="it-IT"/>
              </w:rPr>
              <mc:AlternateContent>
                <mc:Choice Requires="wps">
                  <w:drawing>
                    <wp:anchor distT="0" distB="0" distL="114300" distR="114300" simplePos="0" relativeHeight="251683840" behindDoc="0" locked="0" layoutInCell="1" allowOverlap="1" wp14:anchorId="2B07C3B0" wp14:editId="63EB0DC7">
                      <wp:simplePos x="0" y="0"/>
                      <wp:positionH relativeFrom="margin">
                        <wp:posOffset>0</wp:posOffset>
                      </wp:positionH>
                      <wp:positionV relativeFrom="paragraph">
                        <wp:posOffset>37465</wp:posOffset>
                      </wp:positionV>
                      <wp:extent cx="2242820" cy="76835"/>
                      <wp:effectExtent l="0" t="0" r="43180" b="18415"/>
                      <wp:wrapNone/>
                      <wp:docPr id="40" name="Pentagono 40"/>
                      <wp:cNvGraphicFramePr/>
                      <a:graphic xmlns:a="http://schemas.openxmlformats.org/drawingml/2006/main">
                        <a:graphicData uri="http://schemas.microsoft.com/office/word/2010/wordprocessingShape">
                          <wps:wsp>
                            <wps:cNvSpPr/>
                            <wps:spPr>
                              <a:xfrm>
                                <a:off x="0" y="0"/>
                                <a:ext cx="224282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07AFA" id="Pentagono 40" o:spid="_x0000_s1026" type="#_x0000_t15" style="position:absolute;margin-left:0;margin-top:2.95pt;width:176.6pt;height:6.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" adj="21230" fillcolor="#5b9bd5" strokecolor="#5b9bd5" strokeweight="1pt">
                      <w10:wrap anchorx="margin"/>
                    </v:shape>
                  </w:pict>
                </mc:Fallback>
              </mc:AlternateContent>
            </w:r>
            <w:r w:rsidRPr="000737D7">
              <w:rPr>
                <w:sz w:val="18"/>
                <w:szCs w:val="18"/>
              </w:rPr>
              <w:t xml:space="preserve">                                                                          </w:t>
            </w:r>
            <w:r>
              <w:rPr>
                <w:sz w:val="18"/>
                <w:szCs w:val="18"/>
              </w:rPr>
              <w:t xml:space="preserve">               </w:t>
            </w:r>
            <w:r w:rsidRPr="000737D7">
              <w:rPr>
                <w:sz w:val="18"/>
                <w:szCs w:val="18"/>
              </w:rPr>
              <w:t>58</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Livorno</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689984" behindDoc="0" locked="0" layoutInCell="1" allowOverlap="1" wp14:anchorId="14133090" wp14:editId="3F3AB04C">
                      <wp:simplePos x="0" y="0"/>
                      <wp:positionH relativeFrom="margin">
                        <wp:posOffset>0</wp:posOffset>
                      </wp:positionH>
                      <wp:positionV relativeFrom="paragraph">
                        <wp:posOffset>40005</wp:posOffset>
                      </wp:positionV>
                      <wp:extent cx="2242820" cy="76835"/>
                      <wp:effectExtent l="0" t="0" r="43180" b="18415"/>
                      <wp:wrapNone/>
                      <wp:docPr id="41" name="Pentagono 41"/>
                      <wp:cNvGraphicFramePr/>
                      <a:graphic xmlns:a="http://schemas.openxmlformats.org/drawingml/2006/main">
                        <a:graphicData uri="http://schemas.microsoft.com/office/word/2010/wordprocessingShape">
                          <wps:wsp>
                            <wps:cNvSpPr/>
                            <wps:spPr>
                              <a:xfrm>
                                <a:off x="0" y="0"/>
                                <a:ext cx="224282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07090" id="Pentagono 41" o:spid="_x0000_s1026" type="#_x0000_t15" style="position:absolute;margin-left:0;margin-top:3.15pt;width:176.6pt;height:6.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" adj="21230" fillcolor="#5b9bd5" strokecolor="#5b9bd5" strokeweight="1pt">
                      <w10:wrap anchorx="margin"/>
                    </v:shape>
                  </w:pict>
                </mc:Fallback>
              </mc:AlternateContent>
            </w:r>
            <w:r w:rsidR="00B10E5E" w:rsidRPr="000737D7">
              <w:rPr>
                <w:sz w:val="18"/>
                <w:szCs w:val="18"/>
              </w:rPr>
              <w:t xml:space="preserve">                                                                           </w:t>
            </w:r>
            <w:r w:rsidR="00D20072">
              <w:rPr>
                <w:sz w:val="18"/>
                <w:szCs w:val="18"/>
              </w:rPr>
              <w:t xml:space="preserve">              </w:t>
            </w:r>
            <w:r w:rsidR="00B10E5E" w:rsidRPr="000737D7">
              <w:rPr>
                <w:sz w:val="18"/>
                <w:szCs w:val="18"/>
              </w:rPr>
              <w:t>58</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Lucca</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696128" behindDoc="0" locked="0" layoutInCell="1" allowOverlap="1" wp14:anchorId="1B212925" wp14:editId="6234294F">
                      <wp:simplePos x="0" y="0"/>
                      <wp:positionH relativeFrom="margin">
                        <wp:posOffset>0</wp:posOffset>
                      </wp:positionH>
                      <wp:positionV relativeFrom="paragraph">
                        <wp:posOffset>27940</wp:posOffset>
                      </wp:positionV>
                      <wp:extent cx="2242820" cy="76835"/>
                      <wp:effectExtent l="0" t="0" r="43180" b="18415"/>
                      <wp:wrapNone/>
                      <wp:docPr id="42" name="Pentagono 42"/>
                      <wp:cNvGraphicFramePr/>
                      <a:graphic xmlns:a="http://schemas.openxmlformats.org/drawingml/2006/main">
                        <a:graphicData uri="http://schemas.microsoft.com/office/word/2010/wordprocessingShape">
                          <wps:wsp>
                            <wps:cNvSpPr/>
                            <wps:spPr>
                              <a:xfrm>
                                <a:off x="0" y="0"/>
                                <a:ext cx="224282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6C04" id="Pentagono 42" o:spid="_x0000_s1026" type="#_x0000_t15" style="position:absolute;margin-left:0;margin-top:2.2pt;width:176.6pt;height:6.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" adj="21230" fillcolor="#5b9bd5" strokecolor="#5b9bd5" strokeweight="1pt">
                      <w10:wrap anchorx="margin"/>
                    </v:shape>
                  </w:pict>
                </mc:Fallback>
              </mc:AlternateContent>
            </w:r>
            <w:r w:rsidR="00B10E5E" w:rsidRPr="000737D7">
              <w:rPr>
                <w:sz w:val="18"/>
                <w:szCs w:val="18"/>
              </w:rPr>
              <w:t xml:space="preserve">                                                                           </w:t>
            </w:r>
            <w:r w:rsidR="00D20072">
              <w:rPr>
                <w:sz w:val="18"/>
                <w:szCs w:val="18"/>
              </w:rPr>
              <w:t xml:space="preserve">              </w:t>
            </w:r>
            <w:r w:rsidR="00B10E5E" w:rsidRPr="000737D7">
              <w:rPr>
                <w:sz w:val="18"/>
                <w:szCs w:val="18"/>
              </w:rPr>
              <w:t>58</w:t>
            </w:r>
          </w:p>
        </w:tc>
      </w:tr>
      <w:tr w:rsidR="000D608C" w:rsidRPr="000737D7" w:rsidTr="004528F9">
        <w:trPr>
          <w:trHeight w:val="57"/>
        </w:trPr>
        <w:tc>
          <w:tcPr>
            <w:tcW w:w="0" w:type="auto"/>
            <w:vMerge/>
            <w:shd w:val="clear" w:color="auto" w:fill="5B9BD5" w:themeFill="accent1"/>
          </w:tcPr>
          <w:p w:rsidR="000D608C" w:rsidRPr="00C46651" w:rsidRDefault="000D608C" w:rsidP="000D608C">
            <w:pPr>
              <w:rPr>
                <w:b/>
                <w:sz w:val="18"/>
                <w:szCs w:val="18"/>
              </w:rPr>
            </w:pPr>
          </w:p>
        </w:tc>
        <w:tc>
          <w:tcPr>
            <w:tcW w:w="0" w:type="auto"/>
            <w:tcBorders>
              <w:right w:val="nil"/>
            </w:tcBorders>
          </w:tcPr>
          <w:p w:rsidR="000D608C" w:rsidRPr="000737D7" w:rsidRDefault="000D608C" w:rsidP="000D608C">
            <w:pPr>
              <w:rPr>
                <w:sz w:val="18"/>
                <w:szCs w:val="18"/>
              </w:rPr>
            </w:pPr>
            <w:r>
              <w:rPr>
                <w:sz w:val="18"/>
                <w:szCs w:val="18"/>
              </w:rPr>
              <w:t>Ancona</w:t>
            </w:r>
          </w:p>
        </w:tc>
        <w:tc>
          <w:tcPr>
            <w:tcW w:w="0" w:type="auto"/>
            <w:tcBorders>
              <w:left w:val="nil"/>
            </w:tcBorders>
          </w:tcPr>
          <w:p w:rsidR="000D608C" w:rsidRPr="000737D7" w:rsidRDefault="00971202" w:rsidP="000D608C">
            <w:pPr>
              <w:rPr>
                <w:sz w:val="18"/>
                <w:szCs w:val="18"/>
              </w:rPr>
            </w:pPr>
            <w:r w:rsidRPr="000737D7">
              <w:rPr>
                <w:noProof/>
                <w:sz w:val="18"/>
                <w:szCs w:val="18"/>
                <w:lang w:eastAsia="it-IT"/>
              </w:rPr>
              <mc:AlternateContent>
                <mc:Choice Requires="wps">
                  <w:drawing>
                    <wp:anchor distT="0" distB="0" distL="114300" distR="114300" simplePos="0" relativeHeight="251714560" behindDoc="0" locked="0" layoutInCell="1" allowOverlap="1" wp14:anchorId="4BA44692" wp14:editId="78341CBD">
                      <wp:simplePos x="0" y="0"/>
                      <wp:positionH relativeFrom="margin">
                        <wp:posOffset>0</wp:posOffset>
                      </wp:positionH>
                      <wp:positionV relativeFrom="paragraph">
                        <wp:posOffset>31750</wp:posOffset>
                      </wp:positionV>
                      <wp:extent cx="2242820" cy="76835"/>
                      <wp:effectExtent l="0" t="0" r="43180" b="18415"/>
                      <wp:wrapNone/>
                      <wp:docPr id="449" name="Pentagono 449"/>
                      <wp:cNvGraphicFramePr/>
                      <a:graphic xmlns:a="http://schemas.openxmlformats.org/drawingml/2006/main">
                        <a:graphicData uri="http://schemas.microsoft.com/office/word/2010/wordprocessingShape">
                          <wps:wsp>
                            <wps:cNvSpPr/>
                            <wps:spPr>
                              <a:xfrm>
                                <a:off x="0" y="0"/>
                                <a:ext cx="224282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AB7EC" id="Pentagono 449" o:spid="_x0000_s1026" type="#_x0000_t15" style="position:absolute;margin-left:0;margin-top:2.5pt;width:176.6pt;height:6.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" adj="21230" fillcolor="#5b9bd5" strokecolor="#5b9bd5" strokeweight="1pt">
                      <w10:wrap anchorx="margin"/>
                    </v:shape>
                  </w:pict>
                </mc:Fallback>
              </mc:AlternateContent>
            </w:r>
            <w:r w:rsidR="000D608C" w:rsidRPr="000737D7">
              <w:rPr>
                <w:sz w:val="18"/>
                <w:szCs w:val="18"/>
              </w:rPr>
              <w:t xml:space="preserve">                                                                           </w:t>
            </w:r>
            <w:r w:rsidR="00D20072">
              <w:rPr>
                <w:sz w:val="18"/>
                <w:szCs w:val="18"/>
              </w:rPr>
              <w:t xml:space="preserve">              </w:t>
            </w:r>
            <w:r w:rsidR="000D608C" w:rsidRPr="000737D7">
              <w:rPr>
                <w:sz w:val="18"/>
                <w:szCs w:val="18"/>
              </w:rPr>
              <w:t>58</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Venezia</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700224" behindDoc="0" locked="0" layoutInCell="1" allowOverlap="1" wp14:anchorId="235917A6" wp14:editId="2BECF227">
                      <wp:simplePos x="0" y="0"/>
                      <wp:positionH relativeFrom="margin">
                        <wp:posOffset>0</wp:posOffset>
                      </wp:positionH>
                      <wp:positionV relativeFrom="paragraph">
                        <wp:posOffset>29845</wp:posOffset>
                      </wp:positionV>
                      <wp:extent cx="1992630" cy="76835"/>
                      <wp:effectExtent l="0" t="0" r="45720" b="18415"/>
                      <wp:wrapNone/>
                      <wp:docPr id="44" name="Pentagono 44"/>
                      <wp:cNvGraphicFramePr/>
                      <a:graphic xmlns:a="http://schemas.openxmlformats.org/drawingml/2006/main">
                        <a:graphicData uri="http://schemas.microsoft.com/office/word/2010/wordprocessingShape">
                          <wps:wsp>
                            <wps:cNvSpPr/>
                            <wps:spPr>
                              <a:xfrm>
                                <a:off x="0" y="0"/>
                                <a:ext cx="199263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F786F" id="Pentagono 44" o:spid="_x0000_s1026" type="#_x0000_t15" style="position:absolute;margin-left:0;margin-top:2.35pt;width:156.9pt;height:6.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" adj="21184" fillcolor="#5b9bd5" strokecolor="#5b9bd5" strokeweight="1pt">
                      <w10:wrap anchorx="margin"/>
                    </v:shape>
                  </w:pict>
                </mc:Fallback>
              </mc:AlternateContent>
            </w:r>
            <w:r w:rsidR="00B10E5E" w:rsidRPr="000737D7">
              <w:rPr>
                <w:sz w:val="18"/>
                <w:szCs w:val="18"/>
              </w:rPr>
              <w:t xml:space="preserve">                                                                   </w:t>
            </w:r>
            <w:r w:rsidR="00D20072">
              <w:rPr>
                <w:sz w:val="18"/>
                <w:szCs w:val="18"/>
              </w:rPr>
              <w:t xml:space="preserve">            </w:t>
            </w:r>
            <w:r w:rsidR="00B10E5E" w:rsidRPr="000737D7">
              <w:rPr>
                <w:sz w:val="18"/>
                <w:szCs w:val="18"/>
              </w:rPr>
              <w:t>50</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Trieste</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702272" behindDoc="0" locked="0" layoutInCell="1" allowOverlap="1" wp14:anchorId="44BD14E1" wp14:editId="24D6C7B8">
                      <wp:simplePos x="0" y="0"/>
                      <wp:positionH relativeFrom="margin">
                        <wp:posOffset>0</wp:posOffset>
                      </wp:positionH>
                      <wp:positionV relativeFrom="paragraph">
                        <wp:posOffset>36195</wp:posOffset>
                      </wp:positionV>
                      <wp:extent cx="1992630" cy="76835"/>
                      <wp:effectExtent l="0" t="0" r="45720" b="18415"/>
                      <wp:wrapNone/>
                      <wp:docPr id="45" name="Pentagono 45"/>
                      <wp:cNvGraphicFramePr/>
                      <a:graphic xmlns:a="http://schemas.openxmlformats.org/drawingml/2006/main">
                        <a:graphicData uri="http://schemas.microsoft.com/office/word/2010/wordprocessingShape">
                          <wps:wsp>
                            <wps:cNvSpPr/>
                            <wps:spPr>
                              <a:xfrm>
                                <a:off x="0" y="0"/>
                                <a:ext cx="199263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B525" id="Pentagono 45" o:spid="_x0000_s1026" type="#_x0000_t15" style="position:absolute;margin-left:0;margin-top:2.85pt;width:156.9pt;height:6.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" adj="21184" fillcolor="#5b9bd5" strokecolor="#5b9bd5" strokeweight="1pt">
                      <w10:wrap anchorx="margin"/>
                    </v:shape>
                  </w:pict>
                </mc:Fallback>
              </mc:AlternateContent>
            </w:r>
            <w:r w:rsidR="00B10E5E" w:rsidRPr="000737D7">
              <w:rPr>
                <w:sz w:val="18"/>
                <w:szCs w:val="18"/>
              </w:rPr>
              <w:t xml:space="preserve">                                                                   </w:t>
            </w:r>
            <w:r w:rsidR="00D20072">
              <w:rPr>
                <w:sz w:val="18"/>
                <w:szCs w:val="18"/>
              </w:rPr>
              <w:t xml:space="preserve">            </w:t>
            </w:r>
            <w:r w:rsidR="00B10E5E" w:rsidRPr="000737D7">
              <w:rPr>
                <w:sz w:val="18"/>
                <w:szCs w:val="18"/>
              </w:rPr>
              <w:t>50</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Cremona</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704320" behindDoc="0" locked="0" layoutInCell="1" allowOverlap="1" wp14:anchorId="00D2B5C9" wp14:editId="2E948C61">
                      <wp:simplePos x="0" y="0"/>
                      <wp:positionH relativeFrom="margin">
                        <wp:posOffset>0</wp:posOffset>
                      </wp:positionH>
                      <wp:positionV relativeFrom="paragraph">
                        <wp:posOffset>42545</wp:posOffset>
                      </wp:positionV>
                      <wp:extent cx="1992630" cy="76835"/>
                      <wp:effectExtent l="0" t="0" r="45720" b="18415"/>
                      <wp:wrapNone/>
                      <wp:docPr id="46" name="Pentagono 46"/>
                      <wp:cNvGraphicFramePr/>
                      <a:graphic xmlns:a="http://schemas.openxmlformats.org/drawingml/2006/main">
                        <a:graphicData uri="http://schemas.microsoft.com/office/word/2010/wordprocessingShape">
                          <wps:wsp>
                            <wps:cNvSpPr/>
                            <wps:spPr>
                              <a:xfrm>
                                <a:off x="0" y="0"/>
                                <a:ext cx="199263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CF7DF" id="Pentagono 46" o:spid="_x0000_s1026" type="#_x0000_t15" style="position:absolute;margin-left:0;margin-top:3.35pt;width:156.9pt;height:6.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" adj="21184" fillcolor="#5b9bd5" strokecolor="#5b9bd5" strokeweight="1pt">
                      <w10:wrap anchorx="margin"/>
                    </v:shape>
                  </w:pict>
                </mc:Fallback>
              </mc:AlternateContent>
            </w:r>
            <w:r w:rsidR="00B10E5E" w:rsidRPr="000737D7">
              <w:rPr>
                <w:sz w:val="18"/>
                <w:szCs w:val="18"/>
              </w:rPr>
              <w:t xml:space="preserve">                                                                   </w:t>
            </w:r>
            <w:r w:rsidR="00D20072">
              <w:rPr>
                <w:sz w:val="18"/>
                <w:szCs w:val="18"/>
              </w:rPr>
              <w:t xml:space="preserve">            </w:t>
            </w:r>
            <w:r w:rsidR="00B10E5E" w:rsidRPr="000737D7">
              <w:rPr>
                <w:sz w:val="18"/>
                <w:szCs w:val="18"/>
              </w:rPr>
              <w:t>50</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Ravenna</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706368" behindDoc="0" locked="0" layoutInCell="1" allowOverlap="1" wp14:anchorId="1093B59A" wp14:editId="0DAA9CF4">
                      <wp:simplePos x="0" y="0"/>
                      <wp:positionH relativeFrom="margin">
                        <wp:posOffset>0</wp:posOffset>
                      </wp:positionH>
                      <wp:positionV relativeFrom="paragraph">
                        <wp:posOffset>36830</wp:posOffset>
                      </wp:positionV>
                      <wp:extent cx="1992630" cy="76835"/>
                      <wp:effectExtent l="0" t="0" r="45720" b="18415"/>
                      <wp:wrapNone/>
                      <wp:docPr id="47" name="Pentagono 47"/>
                      <wp:cNvGraphicFramePr/>
                      <a:graphic xmlns:a="http://schemas.openxmlformats.org/drawingml/2006/main">
                        <a:graphicData uri="http://schemas.microsoft.com/office/word/2010/wordprocessingShape">
                          <wps:wsp>
                            <wps:cNvSpPr/>
                            <wps:spPr>
                              <a:xfrm>
                                <a:off x="0" y="0"/>
                                <a:ext cx="199263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AA2DD" id="Pentagono 47" o:spid="_x0000_s1026" type="#_x0000_t15" style="position:absolute;margin-left:0;margin-top:2.9pt;width:156.9pt;height:6.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" adj="21184" fillcolor="#5b9bd5" strokecolor="#5b9bd5" strokeweight="1pt">
                      <w10:wrap anchorx="margin"/>
                    </v:shape>
                  </w:pict>
                </mc:Fallback>
              </mc:AlternateContent>
            </w:r>
            <w:r w:rsidR="00B10E5E" w:rsidRPr="000737D7">
              <w:rPr>
                <w:sz w:val="18"/>
                <w:szCs w:val="18"/>
              </w:rPr>
              <w:t xml:space="preserve">                                                                   </w:t>
            </w:r>
            <w:r w:rsidR="00D20072">
              <w:rPr>
                <w:sz w:val="18"/>
                <w:szCs w:val="18"/>
              </w:rPr>
              <w:t xml:space="preserve">            </w:t>
            </w:r>
            <w:r w:rsidR="00B10E5E" w:rsidRPr="000737D7">
              <w:rPr>
                <w:sz w:val="18"/>
                <w:szCs w:val="18"/>
              </w:rPr>
              <w:t>50</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Reggio Emilia</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708416" behindDoc="0" locked="0" layoutInCell="1" allowOverlap="1" wp14:anchorId="38889636" wp14:editId="6AF76F14">
                      <wp:simplePos x="0" y="0"/>
                      <wp:positionH relativeFrom="margin">
                        <wp:posOffset>0</wp:posOffset>
                      </wp:positionH>
                      <wp:positionV relativeFrom="paragraph">
                        <wp:posOffset>38735</wp:posOffset>
                      </wp:positionV>
                      <wp:extent cx="1992630" cy="76835"/>
                      <wp:effectExtent l="0" t="0" r="45720" b="18415"/>
                      <wp:wrapNone/>
                      <wp:docPr id="48" name="Pentagono 48"/>
                      <wp:cNvGraphicFramePr/>
                      <a:graphic xmlns:a="http://schemas.openxmlformats.org/drawingml/2006/main">
                        <a:graphicData uri="http://schemas.microsoft.com/office/word/2010/wordprocessingShape">
                          <wps:wsp>
                            <wps:cNvSpPr/>
                            <wps:spPr>
                              <a:xfrm>
                                <a:off x="0" y="0"/>
                                <a:ext cx="199263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1D661" id="Pentagono 48" o:spid="_x0000_s1026" type="#_x0000_t15" style="position:absolute;margin-left:0;margin-top:3.05pt;width:156.9pt;height:6.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" adj="21184" fillcolor="#5b9bd5" strokecolor="#5b9bd5" strokeweight="1pt">
                      <w10:wrap anchorx="margin"/>
                    </v:shape>
                  </w:pict>
                </mc:Fallback>
              </mc:AlternateContent>
            </w:r>
            <w:r w:rsidR="00B10E5E" w:rsidRPr="000737D7">
              <w:rPr>
                <w:sz w:val="18"/>
                <w:szCs w:val="18"/>
              </w:rPr>
              <w:t xml:space="preserve">                                                                   </w:t>
            </w:r>
            <w:r w:rsidR="00D20072">
              <w:rPr>
                <w:sz w:val="18"/>
                <w:szCs w:val="18"/>
              </w:rPr>
              <w:t xml:space="preserve">            </w:t>
            </w:r>
            <w:r w:rsidR="00B10E5E" w:rsidRPr="000737D7">
              <w:rPr>
                <w:sz w:val="18"/>
                <w:szCs w:val="18"/>
              </w:rPr>
              <w:t>50</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Arezzo</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710464" behindDoc="0" locked="0" layoutInCell="1" allowOverlap="1" wp14:anchorId="131C77E9" wp14:editId="4630CF4E">
                      <wp:simplePos x="0" y="0"/>
                      <wp:positionH relativeFrom="margin">
                        <wp:posOffset>0</wp:posOffset>
                      </wp:positionH>
                      <wp:positionV relativeFrom="paragraph">
                        <wp:posOffset>42545</wp:posOffset>
                      </wp:positionV>
                      <wp:extent cx="1992630" cy="76835"/>
                      <wp:effectExtent l="0" t="0" r="45720" b="18415"/>
                      <wp:wrapNone/>
                      <wp:docPr id="49" name="Pentagono 49"/>
                      <wp:cNvGraphicFramePr/>
                      <a:graphic xmlns:a="http://schemas.openxmlformats.org/drawingml/2006/main">
                        <a:graphicData uri="http://schemas.microsoft.com/office/word/2010/wordprocessingShape">
                          <wps:wsp>
                            <wps:cNvSpPr/>
                            <wps:spPr>
                              <a:xfrm>
                                <a:off x="0" y="0"/>
                                <a:ext cx="199263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E8D8F" id="Pentagono 49" o:spid="_x0000_s1026" type="#_x0000_t15" style="position:absolute;margin-left:0;margin-top:3.35pt;width:156.9pt;height:6.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" adj="21184" fillcolor="#5b9bd5" strokecolor="#5b9bd5" strokeweight="1pt">
                      <w10:wrap anchorx="margin"/>
                    </v:shape>
                  </w:pict>
                </mc:Fallback>
              </mc:AlternateContent>
            </w:r>
            <w:r w:rsidR="00B10E5E" w:rsidRPr="000737D7">
              <w:rPr>
                <w:sz w:val="18"/>
                <w:szCs w:val="18"/>
              </w:rPr>
              <w:t xml:space="preserve">                                                                   </w:t>
            </w:r>
            <w:r w:rsidR="00D20072">
              <w:rPr>
                <w:sz w:val="18"/>
                <w:szCs w:val="18"/>
              </w:rPr>
              <w:t xml:space="preserve">           </w:t>
            </w:r>
            <w:r w:rsidR="00B10E5E">
              <w:rPr>
                <w:sz w:val="18"/>
                <w:szCs w:val="18"/>
              </w:rPr>
              <w:t xml:space="preserve"> </w:t>
            </w:r>
            <w:r w:rsidR="00B10E5E" w:rsidRPr="000737D7">
              <w:rPr>
                <w:sz w:val="18"/>
                <w:szCs w:val="18"/>
              </w:rPr>
              <w:t>50</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Napoli</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712512" behindDoc="0" locked="0" layoutInCell="1" allowOverlap="1" wp14:anchorId="04C7D4BE" wp14:editId="0139379F">
                      <wp:simplePos x="0" y="0"/>
                      <wp:positionH relativeFrom="margin">
                        <wp:posOffset>0</wp:posOffset>
                      </wp:positionH>
                      <wp:positionV relativeFrom="paragraph">
                        <wp:posOffset>42545</wp:posOffset>
                      </wp:positionV>
                      <wp:extent cx="1996440" cy="76835"/>
                      <wp:effectExtent l="0" t="0" r="41910" b="18415"/>
                      <wp:wrapNone/>
                      <wp:docPr id="50" name="Pentagono 50"/>
                      <wp:cNvGraphicFramePr/>
                      <a:graphic xmlns:a="http://schemas.openxmlformats.org/drawingml/2006/main">
                        <a:graphicData uri="http://schemas.microsoft.com/office/word/2010/wordprocessingShape">
                          <wps:wsp>
                            <wps:cNvSpPr/>
                            <wps:spPr>
                              <a:xfrm>
                                <a:off x="0" y="0"/>
                                <a:ext cx="199644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D17EB" id="Pentagono 50" o:spid="_x0000_s1026" type="#_x0000_t15" style="position:absolute;margin-left:0;margin-top:3.35pt;width:157.2pt;height:6.0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" adj="21184" fillcolor="#5b9bd5" strokecolor="#5b9bd5" strokeweight="1pt">
                      <w10:wrap anchorx="margin"/>
                    </v:shape>
                  </w:pict>
                </mc:Fallback>
              </mc:AlternateContent>
            </w:r>
            <w:r w:rsidR="00B10E5E" w:rsidRPr="000737D7">
              <w:rPr>
                <w:sz w:val="18"/>
                <w:szCs w:val="18"/>
              </w:rPr>
              <w:t xml:space="preserve">                                                        </w:t>
            </w:r>
            <w:r w:rsidR="00B10E5E">
              <w:rPr>
                <w:sz w:val="18"/>
                <w:szCs w:val="18"/>
              </w:rPr>
              <w:t xml:space="preserve">              </w:t>
            </w:r>
            <w:r w:rsidR="00D20072">
              <w:rPr>
                <w:sz w:val="18"/>
                <w:szCs w:val="18"/>
              </w:rPr>
              <w:t xml:space="preserve">         </w:t>
            </w:r>
            <w:r w:rsidR="00B10E5E" w:rsidRPr="000737D7">
              <w:rPr>
                <w:sz w:val="18"/>
                <w:szCs w:val="18"/>
              </w:rPr>
              <w:t>50</w:t>
            </w:r>
          </w:p>
        </w:tc>
      </w:tr>
      <w:tr w:rsidR="00B10E5E" w:rsidRPr="000737D7" w:rsidTr="004528F9">
        <w:trPr>
          <w:trHeight w:val="57"/>
        </w:trPr>
        <w:tc>
          <w:tcPr>
            <w:tcW w:w="0" w:type="auto"/>
            <w:vMerge/>
            <w:shd w:val="clear" w:color="auto" w:fill="5B9BD5" w:themeFill="accent1"/>
          </w:tcPr>
          <w:p w:rsidR="00B10E5E" w:rsidRPr="00C46651" w:rsidRDefault="00B10E5E" w:rsidP="0062745E">
            <w:pPr>
              <w:rPr>
                <w:b/>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Potenza</w:t>
            </w:r>
          </w:p>
        </w:tc>
        <w:tc>
          <w:tcPr>
            <w:tcW w:w="0" w:type="auto"/>
            <w:tcBorders>
              <w:left w:val="nil"/>
            </w:tcBorders>
          </w:tcPr>
          <w:p w:rsidR="00B10E5E" w:rsidRPr="000737D7" w:rsidRDefault="00807AD0" w:rsidP="0062745E">
            <w:pPr>
              <w:rPr>
                <w:sz w:val="18"/>
                <w:szCs w:val="18"/>
              </w:rPr>
            </w:pPr>
            <w:r w:rsidRPr="000737D7">
              <w:rPr>
                <w:noProof/>
                <w:sz w:val="18"/>
                <w:szCs w:val="18"/>
                <w:lang w:eastAsia="it-IT"/>
              </w:rPr>
              <mc:AlternateContent>
                <mc:Choice Requires="wps">
                  <w:drawing>
                    <wp:anchor distT="0" distB="0" distL="114300" distR="114300" simplePos="0" relativeHeight="251716608" behindDoc="0" locked="0" layoutInCell="1" allowOverlap="1" wp14:anchorId="2ABD18BF" wp14:editId="336B25D6">
                      <wp:simplePos x="0" y="0"/>
                      <wp:positionH relativeFrom="margin">
                        <wp:posOffset>0</wp:posOffset>
                      </wp:positionH>
                      <wp:positionV relativeFrom="paragraph">
                        <wp:posOffset>27940</wp:posOffset>
                      </wp:positionV>
                      <wp:extent cx="1996440" cy="76835"/>
                      <wp:effectExtent l="0" t="0" r="41910" b="18415"/>
                      <wp:wrapNone/>
                      <wp:docPr id="452" name="Pentagono 452"/>
                      <wp:cNvGraphicFramePr/>
                      <a:graphic xmlns:a="http://schemas.openxmlformats.org/drawingml/2006/main">
                        <a:graphicData uri="http://schemas.microsoft.com/office/word/2010/wordprocessingShape">
                          <wps:wsp>
                            <wps:cNvSpPr/>
                            <wps:spPr>
                              <a:xfrm>
                                <a:off x="0" y="0"/>
                                <a:ext cx="199644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86830" id="Pentagono 452" o:spid="_x0000_s1026" type="#_x0000_t15" style="position:absolute;margin-left:0;margin-top:2.2pt;width:157.2pt;height:6.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" adj="21184" fillcolor="#5b9bd5" strokecolor="#5b9bd5" strokeweight="1pt">
                      <w10:wrap anchorx="margin"/>
                    </v:shape>
                  </w:pict>
                </mc:Fallback>
              </mc:AlternateContent>
            </w:r>
            <w:r w:rsidR="00B10E5E" w:rsidRPr="000737D7">
              <w:rPr>
                <w:sz w:val="18"/>
                <w:szCs w:val="18"/>
              </w:rPr>
              <w:t xml:space="preserve">                                                                 </w:t>
            </w:r>
            <w:r w:rsidR="00B10E5E">
              <w:rPr>
                <w:sz w:val="18"/>
                <w:szCs w:val="18"/>
              </w:rPr>
              <w:t xml:space="preserve">             </w:t>
            </w:r>
            <w:r w:rsidR="00D20072">
              <w:rPr>
                <w:sz w:val="18"/>
                <w:szCs w:val="18"/>
              </w:rPr>
              <w:t xml:space="preserve"> </w:t>
            </w:r>
            <w:r w:rsidR="00B10E5E" w:rsidRPr="000737D7">
              <w:rPr>
                <w:sz w:val="18"/>
                <w:szCs w:val="18"/>
              </w:rPr>
              <w:t>50</w:t>
            </w:r>
          </w:p>
        </w:tc>
      </w:tr>
      <w:tr w:rsidR="00B10E5E" w:rsidRPr="000737D7" w:rsidTr="0014628E">
        <w:trPr>
          <w:trHeight w:val="57"/>
        </w:trPr>
        <w:tc>
          <w:tcPr>
            <w:tcW w:w="0" w:type="auto"/>
            <w:vMerge/>
            <w:tcBorders>
              <w:bottom w:val="single" w:sz="12" w:space="0" w:color="auto"/>
            </w:tcBorders>
            <w:shd w:val="clear" w:color="auto" w:fill="5B9BD5" w:themeFill="accent1"/>
          </w:tcPr>
          <w:p w:rsidR="00B10E5E" w:rsidRPr="00C46651" w:rsidRDefault="00B10E5E" w:rsidP="0062745E">
            <w:pPr>
              <w:rPr>
                <w:b/>
                <w:sz w:val="18"/>
                <w:szCs w:val="18"/>
              </w:rPr>
            </w:pPr>
          </w:p>
        </w:tc>
        <w:tc>
          <w:tcPr>
            <w:tcW w:w="0" w:type="auto"/>
            <w:tcBorders>
              <w:bottom w:val="single" w:sz="12" w:space="0" w:color="auto"/>
              <w:right w:val="nil"/>
            </w:tcBorders>
          </w:tcPr>
          <w:p w:rsidR="00B10E5E" w:rsidRPr="000737D7" w:rsidRDefault="00B10E5E" w:rsidP="0062745E">
            <w:pPr>
              <w:rPr>
                <w:sz w:val="18"/>
                <w:szCs w:val="18"/>
              </w:rPr>
            </w:pPr>
            <w:r w:rsidRPr="000737D7">
              <w:rPr>
                <w:sz w:val="18"/>
                <w:szCs w:val="18"/>
              </w:rPr>
              <w:t>Sassari</w:t>
            </w:r>
          </w:p>
        </w:tc>
        <w:tc>
          <w:tcPr>
            <w:tcW w:w="0" w:type="auto"/>
            <w:tcBorders>
              <w:left w:val="nil"/>
              <w:bottom w:val="single" w:sz="12" w:space="0" w:color="auto"/>
            </w:tcBorders>
          </w:tcPr>
          <w:p w:rsidR="00B10E5E" w:rsidRPr="000737D7" w:rsidRDefault="00807AD0" w:rsidP="0062745E">
            <w:pPr>
              <w:rPr>
                <w:sz w:val="18"/>
                <w:szCs w:val="18"/>
              </w:rPr>
            </w:pPr>
            <w:r w:rsidRPr="000737D7">
              <w:rPr>
                <w:noProof/>
                <w:sz w:val="18"/>
                <w:szCs w:val="18"/>
                <w:lang w:eastAsia="it-IT"/>
              </w:rPr>
              <mc:AlternateContent>
                <mc:Choice Requires="wps">
                  <w:drawing>
                    <wp:anchor distT="0" distB="0" distL="114300" distR="114300" simplePos="0" relativeHeight="251718656" behindDoc="0" locked="0" layoutInCell="1" allowOverlap="1" wp14:anchorId="4A6BC025" wp14:editId="22B7394A">
                      <wp:simplePos x="0" y="0"/>
                      <wp:positionH relativeFrom="margin">
                        <wp:posOffset>0</wp:posOffset>
                      </wp:positionH>
                      <wp:positionV relativeFrom="paragraph">
                        <wp:posOffset>29210</wp:posOffset>
                      </wp:positionV>
                      <wp:extent cx="1996440" cy="76835"/>
                      <wp:effectExtent l="0" t="0" r="41910" b="18415"/>
                      <wp:wrapNone/>
                      <wp:docPr id="453" name="Pentagono 453"/>
                      <wp:cNvGraphicFramePr/>
                      <a:graphic xmlns:a="http://schemas.openxmlformats.org/drawingml/2006/main">
                        <a:graphicData uri="http://schemas.microsoft.com/office/word/2010/wordprocessingShape">
                          <wps:wsp>
                            <wps:cNvSpPr/>
                            <wps:spPr>
                              <a:xfrm>
                                <a:off x="0" y="0"/>
                                <a:ext cx="1996440" cy="76835"/>
                              </a:xfrm>
                              <a:prstGeom prst="homePlate">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5F0A" id="Pentagono 453" o:spid="_x0000_s1026" type="#_x0000_t15" style="position:absolute;margin-left:0;margin-top:2.3pt;width:157.2pt;height:6.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" adj="21184" fillcolor="#5b9bd5" strokecolor="#5b9bd5" strokeweight="1pt">
                      <w10:wrap anchorx="margin"/>
                    </v:shape>
                  </w:pict>
                </mc:Fallback>
              </mc:AlternateContent>
            </w:r>
            <w:r w:rsidR="00B10E5E" w:rsidRPr="000737D7">
              <w:rPr>
                <w:sz w:val="18"/>
                <w:szCs w:val="18"/>
              </w:rPr>
              <w:t xml:space="preserve">                                                                 </w:t>
            </w:r>
            <w:r w:rsidR="00B10E5E">
              <w:rPr>
                <w:sz w:val="18"/>
                <w:szCs w:val="18"/>
              </w:rPr>
              <w:t xml:space="preserve">              </w:t>
            </w:r>
            <w:r w:rsidR="00B10E5E" w:rsidRPr="000737D7">
              <w:rPr>
                <w:sz w:val="18"/>
                <w:szCs w:val="18"/>
              </w:rPr>
              <w:t>50</w:t>
            </w:r>
          </w:p>
        </w:tc>
      </w:tr>
      <w:tr w:rsidR="00B10E5E" w:rsidRPr="000737D7" w:rsidTr="004528F9">
        <w:trPr>
          <w:trHeight w:val="57"/>
        </w:trPr>
        <w:tc>
          <w:tcPr>
            <w:tcW w:w="0" w:type="auto"/>
            <w:vMerge w:val="restart"/>
            <w:tcBorders>
              <w:top w:val="single" w:sz="12" w:space="0" w:color="auto"/>
            </w:tcBorders>
            <w:shd w:val="clear" w:color="auto" w:fill="767171" w:themeFill="background2" w:themeFillShade="80"/>
            <w:textDirection w:val="btLr"/>
            <w:vAlign w:val="center"/>
          </w:tcPr>
          <w:p w:rsidR="00B10E5E" w:rsidRPr="004528F9" w:rsidRDefault="00B10E5E" w:rsidP="0062745E">
            <w:pPr>
              <w:ind w:left="113" w:right="113"/>
              <w:jc w:val="center"/>
              <w:rPr>
                <w:b/>
                <w:color w:val="FFFFFF" w:themeColor="background1"/>
                <w:sz w:val="18"/>
                <w:szCs w:val="18"/>
              </w:rPr>
            </w:pPr>
            <w:r w:rsidRPr="004528F9">
              <w:rPr>
                <w:b/>
                <w:color w:val="FFFFFF" w:themeColor="background1"/>
                <w:sz w:val="18"/>
                <w:szCs w:val="18"/>
              </w:rPr>
              <w:t>Piombi</w:t>
            </w:r>
          </w:p>
        </w:tc>
        <w:tc>
          <w:tcPr>
            <w:tcW w:w="0" w:type="auto"/>
            <w:tcBorders>
              <w:top w:val="single" w:sz="12" w:space="0" w:color="auto"/>
              <w:right w:val="nil"/>
            </w:tcBorders>
          </w:tcPr>
          <w:p w:rsidR="00B10E5E" w:rsidRPr="000737D7" w:rsidRDefault="00B10E5E" w:rsidP="0062745E">
            <w:pPr>
              <w:rPr>
                <w:sz w:val="18"/>
                <w:szCs w:val="18"/>
              </w:rPr>
            </w:pPr>
            <w:r w:rsidRPr="000737D7">
              <w:rPr>
                <w:sz w:val="18"/>
                <w:szCs w:val="18"/>
              </w:rPr>
              <w:t>Brescia</w:t>
            </w:r>
          </w:p>
        </w:tc>
        <w:tc>
          <w:tcPr>
            <w:tcW w:w="0" w:type="auto"/>
            <w:tcBorders>
              <w:top w:val="single" w:sz="12" w:space="0" w:color="auto"/>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649024" behindDoc="0" locked="0" layoutInCell="1" allowOverlap="1" wp14:anchorId="7595CE63" wp14:editId="0F1BA9C6">
                      <wp:simplePos x="0" y="0"/>
                      <wp:positionH relativeFrom="margin">
                        <wp:posOffset>0</wp:posOffset>
                      </wp:positionH>
                      <wp:positionV relativeFrom="paragraph">
                        <wp:posOffset>31115</wp:posOffset>
                      </wp:positionV>
                      <wp:extent cx="1207135" cy="76835"/>
                      <wp:effectExtent l="0" t="0" r="31115" b="18415"/>
                      <wp:wrapNone/>
                      <wp:docPr id="53" name="Pentagono 53"/>
                      <wp:cNvGraphicFramePr/>
                      <a:graphic xmlns:a="http://schemas.openxmlformats.org/drawingml/2006/main">
                        <a:graphicData uri="http://schemas.microsoft.com/office/word/2010/wordprocessingShape">
                          <wps:wsp>
                            <wps:cNvSpPr/>
                            <wps:spPr>
                              <a:xfrm>
                                <a:off x="0" y="0"/>
                                <a:ext cx="1207135" cy="76835"/>
                              </a:xfrm>
                              <a:prstGeom prst="homePlate">
                                <a:avLst/>
                              </a:prstGeom>
                              <a:solidFill>
                                <a:schemeClr val="bg2">
                                  <a:lumMod val="50000"/>
                                </a:schemeClr>
                              </a:solidFill>
                              <a:ln w="12700" cap="flat" cmpd="sng" algn="ctr">
                                <a:solidFill>
                                  <a:schemeClr val="bg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6BF33" id="Pentagono 53" o:spid="_x0000_s1026" type="#_x0000_t15" style="position:absolute;margin-left:0;margin-top:2.45pt;width:95.05pt;height:6.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" adj="20913" fillcolor="#747070 [1614]" strokecolor="#747070 [1614]" strokeweight="1pt">
                      <w10:wrap anchorx="margin"/>
                    </v:shape>
                  </w:pict>
                </mc:Fallback>
              </mc:AlternateContent>
            </w:r>
            <w:r w:rsidR="00B10E5E" w:rsidRPr="000737D7">
              <w:rPr>
                <w:sz w:val="18"/>
                <w:szCs w:val="18"/>
              </w:rPr>
              <w:t xml:space="preserve">                                          </w:t>
            </w:r>
            <w:r w:rsidR="00D20072">
              <w:rPr>
                <w:sz w:val="18"/>
                <w:szCs w:val="18"/>
              </w:rPr>
              <w:t xml:space="preserve">       </w:t>
            </w:r>
            <w:r w:rsidR="00B10E5E" w:rsidRPr="000737D7">
              <w:rPr>
                <w:sz w:val="18"/>
                <w:szCs w:val="18"/>
              </w:rPr>
              <w:t>33</w:t>
            </w:r>
          </w:p>
        </w:tc>
      </w:tr>
      <w:tr w:rsidR="00B10E5E" w:rsidRPr="000737D7" w:rsidTr="004528F9">
        <w:trPr>
          <w:trHeight w:val="57"/>
        </w:trPr>
        <w:tc>
          <w:tcPr>
            <w:tcW w:w="0" w:type="auto"/>
            <w:vMerge/>
            <w:shd w:val="clear" w:color="auto" w:fill="767171" w:themeFill="background2" w:themeFillShade="80"/>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Modena</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651072" behindDoc="0" locked="0" layoutInCell="1" allowOverlap="1" wp14:anchorId="4402E9F5" wp14:editId="3ED6340C">
                      <wp:simplePos x="0" y="0"/>
                      <wp:positionH relativeFrom="margin">
                        <wp:posOffset>0</wp:posOffset>
                      </wp:positionH>
                      <wp:positionV relativeFrom="paragraph">
                        <wp:posOffset>35560</wp:posOffset>
                      </wp:positionV>
                      <wp:extent cx="1207135" cy="76835"/>
                      <wp:effectExtent l="0" t="0" r="31115" b="18415"/>
                      <wp:wrapNone/>
                      <wp:docPr id="54" name="Pentagono 54"/>
                      <wp:cNvGraphicFramePr/>
                      <a:graphic xmlns:a="http://schemas.openxmlformats.org/drawingml/2006/main">
                        <a:graphicData uri="http://schemas.microsoft.com/office/word/2010/wordprocessingShape">
                          <wps:wsp>
                            <wps:cNvSpPr/>
                            <wps:spPr>
                              <a:xfrm>
                                <a:off x="0" y="0"/>
                                <a:ext cx="1207135" cy="76835"/>
                              </a:xfrm>
                              <a:prstGeom prst="homePlate">
                                <a:avLst/>
                              </a:prstGeom>
                              <a:solidFill>
                                <a:srgbClr val="E7E6E6">
                                  <a:lumMod val="50000"/>
                                </a:srgb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5BB45" id="Pentagono 54" o:spid="_x0000_s1026" type="#_x0000_t15" style="position:absolute;margin-left:0;margin-top:2.8pt;width:95.05pt;height:6.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" adj="20913" fillcolor="#767171" strokecolor="#767171" strokeweight="1pt">
                      <w10:wrap anchorx="margin"/>
                    </v:shape>
                  </w:pict>
                </mc:Fallback>
              </mc:AlternateContent>
            </w:r>
            <w:r w:rsidR="00B10E5E" w:rsidRPr="000737D7">
              <w:rPr>
                <w:sz w:val="18"/>
                <w:szCs w:val="18"/>
              </w:rPr>
              <w:t xml:space="preserve">                                  </w:t>
            </w:r>
            <w:r w:rsidR="00B10E5E">
              <w:rPr>
                <w:sz w:val="18"/>
                <w:szCs w:val="18"/>
              </w:rPr>
              <w:t xml:space="preserve">         </w:t>
            </w:r>
            <w:r w:rsidR="00D20072">
              <w:rPr>
                <w:sz w:val="18"/>
                <w:szCs w:val="18"/>
              </w:rPr>
              <w:t xml:space="preserve">      </w:t>
            </w:r>
            <w:r w:rsidR="00B10E5E" w:rsidRPr="000737D7">
              <w:rPr>
                <w:sz w:val="18"/>
                <w:szCs w:val="18"/>
              </w:rPr>
              <w:t>33</w:t>
            </w:r>
          </w:p>
        </w:tc>
      </w:tr>
      <w:tr w:rsidR="00B10E5E" w:rsidRPr="000737D7" w:rsidTr="004528F9">
        <w:trPr>
          <w:trHeight w:val="57"/>
        </w:trPr>
        <w:tc>
          <w:tcPr>
            <w:tcW w:w="0" w:type="auto"/>
            <w:vMerge/>
            <w:shd w:val="clear" w:color="auto" w:fill="767171" w:themeFill="background2" w:themeFillShade="80"/>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La Spezia</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653120" behindDoc="0" locked="0" layoutInCell="1" allowOverlap="1" wp14:anchorId="3E4A6128" wp14:editId="467DFED1">
                      <wp:simplePos x="0" y="0"/>
                      <wp:positionH relativeFrom="margin">
                        <wp:posOffset>0</wp:posOffset>
                      </wp:positionH>
                      <wp:positionV relativeFrom="paragraph">
                        <wp:posOffset>31115</wp:posOffset>
                      </wp:positionV>
                      <wp:extent cx="1207135" cy="76835"/>
                      <wp:effectExtent l="0" t="0" r="31115" b="18415"/>
                      <wp:wrapNone/>
                      <wp:docPr id="55" name="Pentagono 55"/>
                      <wp:cNvGraphicFramePr/>
                      <a:graphic xmlns:a="http://schemas.openxmlformats.org/drawingml/2006/main">
                        <a:graphicData uri="http://schemas.microsoft.com/office/word/2010/wordprocessingShape">
                          <wps:wsp>
                            <wps:cNvSpPr/>
                            <wps:spPr>
                              <a:xfrm>
                                <a:off x="0" y="0"/>
                                <a:ext cx="1207135" cy="76835"/>
                              </a:xfrm>
                              <a:prstGeom prst="homePlate">
                                <a:avLst/>
                              </a:prstGeom>
                              <a:solidFill>
                                <a:srgbClr val="E7E6E6">
                                  <a:lumMod val="50000"/>
                                </a:srgb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4204D" id="Pentagono 55" o:spid="_x0000_s1026" type="#_x0000_t15" style="position:absolute;margin-left:0;margin-top:2.45pt;width:95.05pt;height:6.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" adj="20913" fillcolor="#767171" strokecolor="#767171" strokeweight="1pt">
                      <w10:wrap anchorx="margin"/>
                    </v:shape>
                  </w:pict>
                </mc:Fallback>
              </mc:AlternateContent>
            </w:r>
            <w:r w:rsidR="00B10E5E" w:rsidRPr="000737D7">
              <w:rPr>
                <w:sz w:val="18"/>
                <w:szCs w:val="18"/>
              </w:rPr>
              <w:t xml:space="preserve">                                      </w:t>
            </w:r>
            <w:r w:rsidR="00B10E5E">
              <w:rPr>
                <w:sz w:val="18"/>
                <w:szCs w:val="18"/>
              </w:rPr>
              <w:t xml:space="preserve">         </w:t>
            </w:r>
            <w:r w:rsidR="00D20072">
              <w:rPr>
                <w:sz w:val="18"/>
                <w:szCs w:val="18"/>
              </w:rPr>
              <w:t xml:space="preserve">  </w:t>
            </w:r>
            <w:r w:rsidR="00B10E5E" w:rsidRPr="000737D7">
              <w:rPr>
                <w:sz w:val="18"/>
                <w:szCs w:val="18"/>
              </w:rPr>
              <w:t>33</w:t>
            </w:r>
          </w:p>
        </w:tc>
      </w:tr>
      <w:tr w:rsidR="00B10E5E" w:rsidRPr="000737D7" w:rsidTr="004528F9">
        <w:trPr>
          <w:trHeight w:val="57"/>
        </w:trPr>
        <w:tc>
          <w:tcPr>
            <w:tcW w:w="0" w:type="auto"/>
            <w:vMerge/>
            <w:shd w:val="clear" w:color="auto" w:fill="767171" w:themeFill="background2" w:themeFillShade="80"/>
          </w:tcPr>
          <w:p w:rsidR="00B10E5E" w:rsidRPr="000737D7" w:rsidRDefault="00B10E5E" w:rsidP="0062745E">
            <w:pPr>
              <w:rPr>
                <w:sz w:val="18"/>
                <w:szCs w:val="18"/>
              </w:rPr>
            </w:pPr>
          </w:p>
        </w:tc>
        <w:tc>
          <w:tcPr>
            <w:tcW w:w="0" w:type="auto"/>
            <w:tcBorders>
              <w:right w:val="nil"/>
            </w:tcBorders>
          </w:tcPr>
          <w:p w:rsidR="00B10E5E" w:rsidRPr="000737D7" w:rsidRDefault="00B10E5E" w:rsidP="0062745E">
            <w:pPr>
              <w:rPr>
                <w:sz w:val="18"/>
                <w:szCs w:val="18"/>
              </w:rPr>
            </w:pPr>
            <w:r w:rsidRPr="000737D7">
              <w:rPr>
                <w:sz w:val="18"/>
                <w:szCs w:val="18"/>
              </w:rPr>
              <w:t>Catanzaro</w:t>
            </w:r>
          </w:p>
        </w:tc>
        <w:tc>
          <w:tcPr>
            <w:tcW w:w="0" w:type="auto"/>
            <w:tcBorders>
              <w:left w:val="nil"/>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655168" behindDoc="0" locked="0" layoutInCell="1" allowOverlap="1" wp14:anchorId="22672675" wp14:editId="6A3B27CD">
                      <wp:simplePos x="0" y="0"/>
                      <wp:positionH relativeFrom="margin">
                        <wp:posOffset>0</wp:posOffset>
                      </wp:positionH>
                      <wp:positionV relativeFrom="paragraph">
                        <wp:posOffset>30480</wp:posOffset>
                      </wp:positionV>
                      <wp:extent cx="1207135" cy="76835"/>
                      <wp:effectExtent l="0" t="0" r="31115" b="18415"/>
                      <wp:wrapNone/>
                      <wp:docPr id="56" name="Pentagono 56"/>
                      <wp:cNvGraphicFramePr/>
                      <a:graphic xmlns:a="http://schemas.openxmlformats.org/drawingml/2006/main">
                        <a:graphicData uri="http://schemas.microsoft.com/office/word/2010/wordprocessingShape">
                          <wps:wsp>
                            <wps:cNvSpPr/>
                            <wps:spPr>
                              <a:xfrm>
                                <a:off x="0" y="0"/>
                                <a:ext cx="1207135" cy="76835"/>
                              </a:xfrm>
                              <a:prstGeom prst="homePlate">
                                <a:avLst/>
                              </a:prstGeom>
                              <a:solidFill>
                                <a:srgbClr val="E7E6E6">
                                  <a:lumMod val="50000"/>
                                </a:srgb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5671" id="Pentagono 56" o:spid="_x0000_s1026" type="#_x0000_t15" style="position:absolute;margin-left:0;margin-top:2.4pt;width:95.05pt;height:6.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" adj="20913" fillcolor="#767171" strokecolor="#767171" strokeweight="1pt">
                      <w10:wrap anchorx="margin"/>
                    </v:shape>
                  </w:pict>
                </mc:Fallback>
              </mc:AlternateContent>
            </w:r>
            <w:r w:rsidR="00B10E5E" w:rsidRPr="000737D7">
              <w:rPr>
                <w:sz w:val="18"/>
                <w:szCs w:val="18"/>
              </w:rPr>
              <w:t xml:space="preserve">                                       </w:t>
            </w:r>
            <w:r w:rsidR="00B10E5E">
              <w:rPr>
                <w:sz w:val="18"/>
                <w:szCs w:val="18"/>
              </w:rPr>
              <w:t xml:space="preserve">         </w:t>
            </w:r>
            <w:r w:rsidR="00D20072">
              <w:rPr>
                <w:sz w:val="18"/>
                <w:szCs w:val="18"/>
              </w:rPr>
              <w:t xml:space="preserve"> </w:t>
            </w:r>
            <w:r w:rsidR="00B10E5E" w:rsidRPr="000737D7">
              <w:rPr>
                <w:sz w:val="18"/>
                <w:szCs w:val="18"/>
              </w:rPr>
              <w:t>33</w:t>
            </w:r>
          </w:p>
        </w:tc>
      </w:tr>
      <w:tr w:rsidR="00B10E5E" w:rsidRPr="000737D7" w:rsidTr="0014628E">
        <w:trPr>
          <w:trHeight w:val="57"/>
        </w:trPr>
        <w:tc>
          <w:tcPr>
            <w:tcW w:w="0" w:type="auto"/>
            <w:vMerge/>
            <w:tcBorders>
              <w:bottom w:val="single" w:sz="12" w:space="0" w:color="auto"/>
            </w:tcBorders>
            <w:shd w:val="clear" w:color="auto" w:fill="767171" w:themeFill="background2" w:themeFillShade="80"/>
          </w:tcPr>
          <w:p w:rsidR="00B10E5E" w:rsidRPr="000737D7" w:rsidRDefault="00B10E5E" w:rsidP="0062745E">
            <w:pPr>
              <w:rPr>
                <w:sz w:val="18"/>
                <w:szCs w:val="18"/>
              </w:rPr>
            </w:pPr>
          </w:p>
        </w:tc>
        <w:tc>
          <w:tcPr>
            <w:tcW w:w="0" w:type="auto"/>
            <w:tcBorders>
              <w:bottom w:val="single" w:sz="12" w:space="0" w:color="auto"/>
              <w:right w:val="nil"/>
            </w:tcBorders>
          </w:tcPr>
          <w:p w:rsidR="00B10E5E" w:rsidRPr="000737D7" w:rsidRDefault="00B10E5E" w:rsidP="0062745E">
            <w:pPr>
              <w:rPr>
                <w:sz w:val="18"/>
                <w:szCs w:val="18"/>
              </w:rPr>
            </w:pPr>
            <w:r w:rsidRPr="000737D7">
              <w:rPr>
                <w:sz w:val="18"/>
                <w:szCs w:val="18"/>
              </w:rPr>
              <w:t>Trapani</w:t>
            </w:r>
          </w:p>
        </w:tc>
        <w:tc>
          <w:tcPr>
            <w:tcW w:w="0" w:type="auto"/>
            <w:tcBorders>
              <w:left w:val="nil"/>
              <w:bottom w:val="single" w:sz="12" w:space="0" w:color="auto"/>
            </w:tcBorders>
          </w:tcPr>
          <w:p w:rsidR="00B10E5E" w:rsidRPr="000737D7" w:rsidRDefault="00971202" w:rsidP="0062745E">
            <w:pPr>
              <w:rPr>
                <w:sz w:val="18"/>
                <w:szCs w:val="18"/>
              </w:rPr>
            </w:pPr>
            <w:r w:rsidRPr="000737D7">
              <w:rPr>
                <w:noProof/>
                <w:sz w:val="18"/>
                <w:szCs w:val="18"/>
                <w:lang w:eastAsia="it-IT"/>
              </w:rPr>
              <mc:AlternateContent>
                <mc:Choice Requires="wps">
                  <w:drawing>
                    <wp:anchor distT="0" distB="0" distL="114300" distR="114300" simplePos="0" relativeHeight="251661312" behindDoc="0" locked="0" layoutInCell="1" allowOverlap="1" wp14:anchorId="27A63648" wp14:editId="2E7D2659">
                      <wp:simplePos x="0" y="0"/>
                      <wp:positionH relativeFrom="margin">
                        <wp:posOffset>0</wp:posOffset>
                      </wp:positionH>
                      <wp:positionV relativeFrom="paragraph">
                        <wp:posOffset>38100</wp:posOffset>
                      </wp:positionV>
                      <wp:extent cx="1207135" cy="76835"/>
                      <wp:effectExtent l="0" t="0" r="31115" b="18415"/>
                      <wp:wrapNone/>
                      <wp:docPr id="57" name="Pentagono 57"/>
                      <wp:cNvGraphicFramePr/>
                      <a:graphic xmlns:a="http://schemas.openxmlformats.org/drawingml/2006/main">
                        <a:graphicData uri="http://schemas.microsoft.com/office/word/2010/wordprocessingShape">
                          <wps:wsp>
                            <wps:cNvSpPr/>
                            <wps:spPr>
                              <a:xfrm>
                                <a:off x="0" y="0"/>
                                <a:ext cx="1207135" cy="76835"/>
                              </a:xfrm>
                              <a:prstGeom prst="homePlate">
                                <a:avLst/>
                              </a:prstGeom>
                              <a:solidFill>
                                <a:srgbClr val="E7E6E6">
                                  <a:lumMod val="50000"/>
                                </a:srgbClr>
                              </a:soli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7193B" id="Pentagono 57" o:spid="_x0000_s1026" type="#_x0000_t15" style="position:absolute;margin-left:0;margin-top:3pt;width:95.05pt;height: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" adj="20913" fillcolor="#767171" strokecolor="#767171" strokeweight="1pt">
                      <w10:wrap anchorx="margin"/>
                    </v:shape>
                  </w:pict>
                </mc:Fallback>
              </mc:AlternateContent>
            </w:r>
            <w:r w:rsidR="00B10E5E" w:rsidRPr="000737D7">
              <w:rPr>
                <w:sz w:val="18"/>
                <w:szCs w:val="18"/>
              </w:rPr>
              <w:t xml:space="preserve">                                       </w:t>
            </w:r>
            <w:r w:rsidR="00B10E5E">
              <w:rPr>
                <w:sz w:val="18"/>
                <w:szCs w:val="18"/>
              </w:rPr>
              <w:t xml:space="preserve">         </w:t>
            </w:r>
            <w:r w:rsidR="00D20072">
              <w:rPr>
                <w:sz w:val="18"/>
                <w:szCs w:val="18"/>
              </w:rPr>
              <w:t xml:space="preserve"> </w:t>
            </w:r>
            <w:r w:rsidR="00B10E5E" w:rsidRPr="000737D7">
              <w:rPr>
                <w:sz w:val="18"/>
                <w:szCs w:val="18"/>
              </w:rPr>
              <w:t>33</w:t>
            </w:r>
          </w:p>
        </w:tc>
      </w:tr>
    </w:tbl>
    <w:p w:rsidR="009326C9" w:rsidRPr="0085475A" w:rsidRDefault="00A44927" w:rsidP="009326C9">
      <w:pPr>
        <w:pStyle w:val="StileFonte"/>
        <w:jc w:val="left"/>
        <w:rPr>
          <w:b/>
          <w:sz w:val="32"/>
          <w:szCs w:val="32"/>
        </w:rPr>
        <w:sectPr w:rsidR="009326C9" w:rsidRPr="0085475A" w:rsidSect="00977329">
          <w:pgSz w:w="11906" w:h="16838" w:code="9"/>
          <w:pgMar w:top="1701" w:right="1701" w:bottom="1701" w:left="1701" w:header="510" w:footer="680" w:gutter="0"/>
          <w:pgNumType w:start="50"/>
          <w:cols w:space="708"/>
          <w:docGrid w:linePitch="360"/>
        </w:sectPr>
      </w:pPr>
      <w:r>
        <w:t>Fonte: indagine</w:t>
      </w:r>
      <w:r w:rsidR="0085475A">
        <w:t xml:space="preserve"> RUR - Yard, 2016</w:t>
      </w:r>
      <w:r w:rsidR="009326C9">
        <w:rPr>
          <w:b/>
          <w:sz w:val="32"/>
          <w:szCs w:val="32"/>
        </w:rPr>
        <w:br w:type="page"/>
      </w:r>
    </w:p>
    <w:p w:rsidR="0062745E" w:rsidRDefault="009326C9" w:rsidP="008E133D">
      <w:pPr>
        <w:pStyle w:val="StileFonte"/>
      </w:pPr>
      <w:r>
        <w:lastRenderedPageBreak/>
        <w:br/>
      </w:r>
    </w:p>
    <w:p w:rsidR="00F5323B" w:rsidRPr="006530A7" w:rsidRDefault="00F5323B" w:rsidP="00F5323B">
      <w:pPr>
        <w:pStyle w:val="Paragrafoelenco"/>
        <w:jc w:val="both"/>
        <w:rPr>
          <w:sz w:val="24"/>
          <w:szCs w:val="24"/>
        </w:rPr>
      </w:pPr>
    </w:p>
    <w:p w:rsidR="005E5C2A" w:rsidRDefault="005E5C2A">
      <w:pPr>
        <w:rPr>
          <w:b/>
          <w:sz w:val="32"/>
          <w:szCs w:val="32"/>
        </w:rPr>
      </w:pPr>
    </w:p>
    <w:p w:rsidR="00D05446" w:rsidRDefault="00D05446">
      <w:pPr>
        <w:rPr>
          <w:b/>
          <w:sz w:val="32"/>
          <w:szCs w:val="32"/>
        </w:rPr>
      </w:pPr>
    </w:p>
    <w:p w:rsidR="00D05446" w:rsidRDefault="00D05446">
      <w:pPr>
        <w:rPr>
          <w:b/>
          <w:sz w:val="32"/>
          <w:szCs w:val="32"/>
        </w:rPr>
      </w:pPr>
    </w:p>
    <w:p w:rsidR="00D05446" w:rsidRDefault="00D05446">
      <w:pPr>
        <w:rPr>
          <w:b/>
          <w:sz w:val="32"/>
          <w:szCs w:val="32"/>
        </w:rPr>
      </w:pPr>
    </w:p>
    <w:p w:rsidR="00D05446" w:rsidRDefault="00D05446">
      <w:pPr>
        <w:rPr>
          <w:b/>
          <w:sz w:val="32"/>
          <w:szCs w:val="32"/>
        </w:rPr>
      </w:pPr>
    </w:p>
    <w:p w:rsidR="00D05446" w:rsidRPr="006530A7" w:rsidRDefault="00D05446">
      <w:pPr>
        <w:rPr>
          <w:b/>
          <w:sz w:val="32"/>
          <w:szCs w:val="32"/>
        </w:rPr>
      </w:pPr>
    </w:p>
    <w:p w:rsidR="004416A0" w:rsidRPr="006530A7" w:rsidRDefault="00764BB9" w:rsidP="00483841">
      <w:pPr>
        <w:pStyle w:val="Titolo1"/>
        <w:jc w:val="center"/>
        <w:rPr>
          <w:rFonts w:asciiTheme="minorHAnsi" w:hAnsiTheme="minorHAnsi"/>
          <w:color w:val="auto"/>
          <w:sz w:val="32"/>
          <w:szCs w:val="32"/>
        </w:rPr>
      </w:pPr>
      <w:bookmarkStart w:id="21" w:name="_Toc445539604"/>
      <w:r w:rsidRPr="006530A7">
        <w:rPr>
          <w:rFonts w:asciiTheme="minorHAnsi" w:hAnsiTheme="minorHAnsi"/>
          <w:color w:val="auto"/>
          <w:sz w:val="32"/>
          <w:szCs w:val="32"/>
        </w:rPr>
        <w:t>Appendice Metodologica</w:t>
      </w:r>
      <w:bookmarkEnd w:id="21"/>
    </w:p>
    <w:p w:rsidR="004416A0" w:rsidRPr="006530A7" w:rsidRDefault="004416A0" w:rsidP="00730B40">
      <w:pPr>
        <w:jc w:val="center"/>
        <w:rPr>
          <w:b/>
          <w:sz w:val="32"/>
          <w:szCs w:val="32"/>
        </w:rPr>
      </w:pPr>
    </w:p>
    <w:p w:rsidR="004416A0" w:rsidRPr="006530A7" w:rsidRDefault="004416A0" w:rsidP="00730B40">
      <w:pPr>
        <w:jc w:val="center"/>
        <w:rPr>
          <w:b/>
          <w:sz w:val="32"/>
          <w:szCs w:val="32"/>
        </w:rPr>
      </w:pPr>
    </w:p>
    <w:p w:rsidR="004416A0" w:rsidRPr="006530A7" w:rsidRDefault="004416A0" w:rsidP="00730B40">
      <w:pPr>
        <w:jc w:val="center"/>
        <w:rPr>
          <w:b/>
          <w:sz w:val="32"/>
          <w:szCs w:val="32"/>
        </w:rPr>
      </w:pPr>
    </w:p>
    <w:p w:rsidR="004416A0" w:rsidRPr="006530A7" w:rsidRDefault="004416A0" w:rsidP="00730B40">
      <w:pPr>
        <w:jc w:val="center"/>
        <w:rPr>
          <w:b/>
          <w:sz w:val="32"/>
          <w:szCs w:val="32"/>
        </w:rPr>
      </w:pPr>
    </w:p>
    <w:p w:rsidR="004416A0" w:rsidRPr="006530A7" w:rsidRDefault="004416A0" w:rsidP="00730B40">
      <w:pPr>
        <w:jc w:val="center"/>
        <w:rPr>
          <w:b/>
          <w:sz w:val="32"/>
          <w:szCs w:val="32"/>
        </w:rPr>
      </w:pPr>
    </w:p>
    <w:p w:rsidR="004416A0" w:rsidRPr="006530A7" w:rsidRDefault="004416A0" w:rsidP="00730B40">
      <w:pPr>
        <w:jc w:val="center"/>
        <w:rPr>
          <w:b/>
          <w:sz w:val="32"/>
          <w:szCs w:val="32"/>
        </w:rPr>
      </w:pPr>
    </w:p>
    <w:p w:rsidR="00AD23D6" w:rsidRPr="006530A7" w:rsidRDefault="00AD23D6" w:rsidP="00730B40">
      <w:pPr>
        <w:jc w:val="center"/>
        <w:rPr>
          <w:b/>
          <w:sz w:val="32"/>
          <w:szCs w:val="32"/>
        </w:rPr>
      </w:pPr>
    </w:p>
    <w:p w:rsidR="00AD23D6" w:rsidRPr="006530A7" w:rsidRDefault="00AD23D6" w:rsidP="00730B40">
      <w:pPr>
        <w:jc w:val="center"/>
        <w:rPr>
          <w:b/>
          <w:sz w:val="32"/>
          <w:szCs w:val="32"/>
        </w:rPr>
      </w:pPr>
    </w:p>
    <w:p w:rsidR="00AD23D6" w:rsidRPr="006530A7" w:rsidRDefault="00BF3FB5" w:rsidP="00753015">
      <w:pPr>
        <w:rPr>
          <w:b/>
          <w:sz w:val="32"/>
          <w:szCs w:val="32"/>
        </w:rPr>
      </w:pPr>
      <w:r w:rsidRPr="006530A7">
        <w:rPr>
          <w:b/>
          <w:sz w:val="32"/>
          <w:szCs w:val="32"/>
        </w:rPr>
        <w:br w:type="page"/>
      </w:r>
    </w:p>
    <w:p w:rsidR="00730B40" w:rsidRPr="008E133D" w:rsidRDefault="002533F4" w:rsidP="008E133D">
      <w:pPr>
        <w:pStyle w:val="Titolo1"/>
        <w:spacing w:after="240"/>
        <w:rPr>
          <w:rFonts w:asciiTheme="minorHAnsi" w:hAnsiTheme="minorHAnsi"/>
          <w:smallCaps/>
          <w:color w:val="auto"/>
          <w:sz w:val="32"/>
          <w:szCs w:val="32"/>
        </w:rPr>
      </w:pPr>
      <w:bookmarkStart w:id="22" w:name="_Toc443591396"/>
      <w:bookmarkStart w:id="23" w:name="_Toc443597845"/>
      <w:bookmarkStart w:id="24" w:name="_Toc443598595"/>
      <w:bookmarkStart w:id="25" w:name="_Toc443650100"/>
      <w:bookmarkStart w:id="26" w:name="_Toc443684184"/>
      <w:bookmarkStart w:id="27" w:name="_Toc443727086"/>
      <w:bookmarkStart w:id="28" w:name="_Toc445539605"/>
      <w:r w:rsidRPr="008E133D">
        <w:rPr>
          <w:rFonts w:asciiTheme="minorHAnsi" w:hAnsiTheme="minorHAnsi"/>
          <w:smallCaps/>
          <w:color w:val="auto"/>
          <w:sz w:val="32"/>
          <w:szCs w:val="32"/>
        </w:rPr>
        <w:lastRenderedPageBreak/>
        <w:t>I diversi strumenti utilizzati</w:t>
      </w:r>
      <w:bookmarkEnd w:id="22"/>
      <w:bookmarkEnd w:id="23"/>
      <w:bookmarkEnd w:id="24"/>
      <w:bookmarkEnd w:id="25"/>
      <w:bookmarkEnd w:id="26"/>
      <w:bookmarkEnd w:id="27"/>
      <w:bookmarkEnd w:id="28"/>
    </w:p>
    <w:p w:rsidR="002533F4" w:rsidRPr="002D4C10" w:rsidRDefault="002D4C10" w:rsidP="002D4C10">
      <w:pPr>
        <w:pStyle w:val="Titolo2"/>
        <w:spacing w:before="640" w:after="320"/>
        <w:rPr>
          <w:rFonts w:asciiTheme="minorHAnsi" w:hAnsiTheme="minorHAnsi"/>
          <w:color w:val="auto"/>
        </w:rPr>
      </w:pPr>
      <w:bookmarkStart w:id="29" w:name="_Toc443684185"/>
      <w:bookmarkStart w:id="30" w:name="_Toc443727087"/>
      <w:bookmarkStart w:id="31" w:name="_Toc445539606"/>
      <w:r>
        <w:rPr>
          <w:rFonts w:asciiTheme="minorHAnsi" w:hAnsiTheme="minorHAnsi"/>
          <w:color w:val="auto"/>
        </w:rPr>
        <w:t>RES Forecasting e RES Model</w:t>
      </w:r>
      <w:bookmarkEnd w:id="29"/>
      <w:bookmarkEnd w:id="30"/>
      <w:bookmarkEnd w:id="31"/>
    </w:p>
    <w:p w:rsidR="00730B40" w:rsidRPr="006530A7" w:rsidRDefault="00730B40" w:rsidP="00730B40">
      <w:pPr>
        <w:jc w:val="both"/>
        <w:rPr>
          <w:sz w:val="24"/>
          <w:szCs w:val="24"/>
        </w:rPr>
      </w:pPr>
      <w:r w:rsidRPr="006530A7">
        <w:rPr>
          <w:sz w:val="24"/>
          <w:szCs w:val="24"/>
        </w:rPr>
        <w:t>La RUR sta elaborando un Real Estate Structural Model per individuare le determinanti che influenzano gli andamenti del mercato immobiliare quanto a prezzi e volumi scambiati.</w:t>
      </w:r>
    </w:p>
    <w:p w:rsidR="00730B40" w:rsidRPr="006530A7" w:rsidRDefault="00730B40" w:rsidP="00730B40">
      <w:pPr>
        <w:jc w:val="both"/>
        <w:rPr>
          <w:sz w:val="24"/>
          <w:szCs w:val="24"/>
        </w:rPr>
      </w:pPr>
      <w:r w:rsidRPr="006530A7">
        <w:rPr>
          <w:sz w:val="24"/>
          <w:szCs w:val="24"/>
        </w:rPr>
        <w:t>Nelle more di tale complessa elaborazione, ha definito una metodologia di previsione al breve (tre anni) con andamenti tendenziali a dieci anni, basata sul “Time Series Forecasting”.</w:t>
      </w:r>
    </w:p>
    <w:p w:rsidR="00730B40" w:rsidRPr="006530A7" w:rsidRDefault="002533F4" w:rsidP="00730B40">
      <w:pPr>
        <w:jc w:val="both"/>
        <w:rPr>
          <w:sz w:val="24"/>
          <w:szCs w:val="24"/>
        </w:rPr>
      </w:pPr>
      <w:r w:rsidRPr="006530A7">
        <w:rPr>
          <w:sz w:val="24"/>
          <w:szCs w:val="24"/>
        </w:rPr>
        <w:t xml:space="preserve">L’applicazione di tali metodologie </w:t>
      </w:r>
      <w:r w:rsidR="00730B40" w:rsidRPr="006530A7">
        <w:rPr>
          <w:sz w:val="24"/>
          <w:szCs w:val="24"/>
        </w:rPr>
        <w:t>è resa possibile da due fattori di assoluta attendibilità:</w:t>
      </w:r>
    </w:p>
    <w:p w:rsidR="00730B40" w:rsidRPr="006530A7" w:rsidRDefault="00730B40" w:rsidP="00730B40">
      <w:pPr>
        <w:pStyle w:val="Paragrafoelenco"/>
        <w:numPr>
          <w:ilvl w:val="0"/>
          <w:numId w:val="7"/>
        </w:numPr>
        <w:jc w:val="both"/>
        <w:rPr>
          <w:sz w:val="24"/>
          <w:szCs w:val="24"/>
        </w:rPr>
      </w:pPr>
      <w:r w:rsidRPr="006530A7">
        <w:rPr>
          <w:sz w:val="24"/>
          <w:szCs w:val="24"/>
        </w:rPr>
        <w:t>L’accumulazione di una serie di lungo periodo riguardante le compravendite di abitazioni a uso residenziale e i prezzi medi di riferimento. Tale serie ha valore di unicità in Italia potendosi riferire a un</w:t>
      </w:r>
      <w:r w:rsidR="002533F4" w:rsidRPr="006530A7">
        <w:rPr>
          <w:sz w:val="24"/>
          <w:szCs w:val="24"/>
        </w:rPr>
        <w:t>a</w:t>
      </w:r>
      <w:r w:rsidRPr="006530A7">
        <w:rPr>
          <w:sz w:val="24"/>
          <w:szCs w:val="24"/>
        </w:rPr>
        <w:t xml:space="preserve"> metrica</w:t>
      </w:r>
      <w:r w:rsidR="002533F4" w:rsidRPr="006530A7">
        <w:rPr>
          <w:sz w:val="24"/>
          <w:szCs w:val="24"/>
        </w:rPr>
        <w:t xml:space="preserve"> omogenea</w:t>
      </w:r>
      <w:r w:rsidRPr="006530A7">
        <w:rPr>
          <w:sz w:val="24"/>
          <w:szCs w:val="24"/>
        </w:rPr>
        <w:t xml:space="preserve"> </w:t>
      </w:r>
      <w:r w:rsidR="002533F4" w:rsidRPr="006530A7">
        <w:rPr>
          <w:sz w:val="24"/>
          <w:szCs w:val="24"/>
        </w:rPr>
        <w:t>con la quale,</w:t>
      </w:r>
      <w:r w:rsidRPr="006530A7">
        <w:rPr>
          <w:sz w:val="24"/>
          <w:szCs w:val="24"/>
        </w:rPr>
        <w:t xml:space="preserve"> nel tempo (a partire dal 1958)</w:t>
      </w:r>
      <w:r w:rsidR="002533F4" w:rsidRPr="006530A7">
        <w:rPr>
          <w:sz w:val="24"/>
          <w:szCs w:val="24"/>
        </w:rPr>
        <w:t>, sono stati aggiornati</w:t>
      </w:r>
      <w:r w:rsidRPr="006530A7">
        <w:rPr>
          <w:sz w:val="24"/>
          <w:szCs w:val="24"/>
        </w:rPr>
        <w:t xml:space="preserve"> con costanza, a cadenza annuale, tali valori basandosi sulle rilevazioni di numerosi e diversi soggetti (Consulente Immobiliare, Istat, Censis, Conservatoria dei registri e Uffici finanziari, Ministero degli interni, Ufficio studi Gabetti, Ance, Agenzia del Territorio);</w:t>
      </w:r>
    </w:p>
    <w:p w:rsidR="00730B40" w:rsidRPr="006530A7" w:rsidRDefault="00730B40" w:rsidP="00730B40">
      <w:pPr>
        <w:pStyle w:val="Paragrafoelenco"/>
        <w:numPr>
          <w:ilvl w:val="0"/>
          <w:numId w:val="7"/>
        </w:numPr>
        <w:jc w:val="both"/>
        <w:rPr>
          <w:sz w:val="24"/>
          <w:szCs w:val="24"/>
        </w:rPr>
      </w:pPr>
      <w:r w:rsidRPr="006530A7">
        <w:rPr>
          <w:sz w:val="24"/>
          <w:szCs w:val="24"/>
        </w:rPr>
        <w:t>L’esistenza di una serie di valori tanto estesa (per 53 anni) ha consentito di poter utilizz</w:t>
      </w:r>
      <w:r w:rsidR="00CB616F">
        <w:rPr>
          <w:sz w:val="24"/>
          <w:szCs w:val="24"/>
        </w:rPr>
        <w:t xml:space="preserve">are la metodologia Holt Winter </w:t>
      </w:r>
      <w:r w:rsidRPr="006530A7">
        <w:rPr>
          <w:sz w:val="24"/>
          <w:szCs w:val="24"/>
        </w:rPr>
        <w:t>- Triple Exponential Smoothing  per effettuare una previsione a dieci anni (201</w:t>
      </w:r>
      <w:r w:rsidR="002533F4" w:rsidRPr="006530A7">
        <w:rPr>
          <w:sz w:val="24"/>
          <w:szCs w:val="24"/>
        </w:rPr>
        <w:t>6</w:t>
      </w:r>
      <w:r w:rsidRPr="006530A7">
        <w:rPr>
          <w:sz w:val="24"/>
          <w:szCs w:val="24"/>
        </w:rPr>
        <w:t xml:space="preserve"> – 202</w:t>
      </w:r>
      <w:r w:rsidR="002533F4" w:rsidRPr="006530A7">
        <w:rPr>
          <w:sz w:val="24"/>
          <w:szCs w:val="24"/>
        </w:rPr>
        <w:t>6</w:t>
      </w:r>
      <w:r w:rsidRPr="006530A7">
        <w:rPr>
          <w:sz w:val="24"/>
          <w:szCs w:val="24"/>
        </w:rPr>
        <w:t>). La misurazione del live</w:t>
      </w:r>
      <w:r w:rsidR="00CB616F">
        <w:rPr>
          <w:sz w:val="24"/>
          <w:szCs w:val="24"/>
        </w:rPr>
        <w:t>llo di errore con metodo MAPE (</w:t>
      </w:r>
      <w:r w:rsidRPr="006530A7">
        <w:rPr>
          <w:sz w:val="24"/>
          <w:szCs w:val="24"/>
        </w:rPr>
        <w:t>Mean absolute percentage error) e MAD (Mea</w:t>
      </w:r>
      <w:r w:rsidR="00CB616F">
        <w:rPr>
          <w:sz w:val="24"/>
          <w:szCs w:val="24"/>
        </w:rPr>
        <w:t>n Absolute Deviation)</w:t>
      </w:r>
      <w:r w:rsidRPr="006530A7">
        <w:rPr>
          <w:sz w:val="24"/>
          <w:szCs w:val="24"/>
        </w:rPr>
        <w:t xml:space="preserve"> ha restituito valori di assoluta affidabilità nell’esercizio previsivo.</w:t>
      </w:r>
    </w:p>
    <w:p w:rsidR="004B6BF5" w:rsidRPr="002D4C10" w:rsidRDefault="00CB616F" w:rsidP="002D4C10">
      <w:pPr>
        <w:pStyle w:val="Titolo2"/>
        <w:spacing w:before="640" w:after="320"/>
        <w:rPr>
          <w:rFonts w:asciiTheme="minorHAnsi" w:hAnsiTheme="minorHAnsi"/>
          <w:color w:val="auto"/>
        </w:rPr>
      </w:pPr>
      <w:bookmarkStart w:id="32" w:name="_Toc443684186"/>
      <w:bookmarkStart w:id="33" w:name="_Toc443727088"/>
      <w:bookmarkStart w:id="34" w:name="_Toc445539607"/>
      <w:r>
        <w:rPr>
          <w:rFonts w:asciiTheme="minorHAnsi" w:hAnsiTheme="minorHAnsi"/>
          <w:color w:val="auto"/>
        </w:rPr>
        <w:t>Il REI (</w:t>
      </w:r>
      <w:r w:rsidR="002533F4" w:rsidRPr="002D4C10">
        <w:rPr>
          <w:rFonts w:asciiTheme="minorHAnsi" w:hAnsiTheme="minorHAnsi"/>
          <w:color w:val="auto"/>
        </w:rPr>
        <w:t>Real Estate Italia) Index</w:t>
      </w:r>
      <w:bookmarkEnd w:id="32"/>
      <w:bookmarkEnd w:id="33"/>
      <w:bookmarkEnd w:id="34"/>
    </w:p>
    <w:p w:rsidR="004B6BF5" w:rsidRPr="006530A7" w:rsidRDefault="004B6BF5" w:rsidP="004673FF">
      <w:pPr>
        <w:jc w:val="both"/>
        <w:rPr>
          <w:sz w:val="24"/>
          <w:szCs w:val="24"/>
        </w:rPr>
      </w:pPr>
      <w:r w:rsidRPr="006530A7">
        <w:rPr>
          <w:sz w:val="24"/>
          <w:szCs w:val="24"/>
        </w:rPr>
        <w:t>Dal 1948 viene utilizzato per le previsioni economiche il oltre 30 Paesi del mondo</w:t>
      </w:r>
      <w:r w:rsidR="000B5DEB">
        <w:rPr>
          <w:sz w:val="24"/>
          <w:szCs w:val="24"/>
        </w:rPr>
        <w:t xml:space="preserve"> il PMI Index, ovvero il Purcha</w:t>
      </w:r>
      <w:r w:rsidRPr="006530A7">
        <w:rPr>
          <w:sz w:val="24"/>
          <w:szCs w:val="24"/>
        </w:rPr>
        <w:t xml:space="preserve">sing Managers’ Index realizzato dall’ Institute for Supply Management. L’indagine si rivolge ai direttori degli acquisti delle grandi aziende cui </w:t>
      </w:r>
      <w:r w:rsidRPr="006530A7">
        <w:rPr>
          <w:sz w:val="24"/>
          <w:szCs w:val="24"/>
        </w:rPr>
        <w:lastRenderedPageBreak/>
        <w:t>viene chiesto una previsione sugli scenari futuri sulla base di un giudizio di miglioramento, stazionarietà o deterioramento della situazione.</w:t>
      </w:r>
    </w:p>
    <w:p w:rsidR="004B6BF5" w:rsidRPr="006530A7" w:rsidRDefault="004B6BF5" w:rsidP="002533F4">
      <w:pPr>
        <w:ind w:left="360"/>
        <w:jc w:val="both"/>
        <w:rPr>
          <w:sz w:val="24"/>
          <w:szCs w:val="24"/>
        </w:rPr>
      </w:pPr>
      <w:r w:rsidRPr="006530A7">
        <w:rPr>
          <w:sz w:val="24"/>
          <w:szCs w:val="24"/>
        </w:rPr>
        <w:t>La formula utilizzata è:</w:t>
      </w:r>
    </w:p>
    <w:p w:rsidR="004B6BF5" w:rsidRPr="006530A7" w:rsidRDefault="004B6BF5" w:rsidP="004B6BF5">
      <w:pPr>
        <w:pStyle w:val="Paragrafoelenco"/>
        <w:numPr>
          <w:ilvl w:val="0"/>
          <w:numId w:val="7"/>
        </w:numPr>
        <w:jc w:val="both"/>
        <w:rPr>
          <w:sz w:val="24"/>
          <w:szCs w:val="24"/>
        </w:rPr>
      </w:pPr>
      <w:r w:rsidRPr="006530A7">
        <w:rPr>
          <w:i/>
          <w:sz w:val="24"/>
          <w:szCs w:val="24"/>
        </w:rPr>
        <w:t xml:space="preserve">PMI = </w:t>
      </w:r>
      <w:r w:rsidRPr="006530A7">
        <w:rPr>
          <w:sz w:val="24"/>
          <w:szCs w:val="24"/>
        </w:rPr>
        <w:t>(P1 * 1) + (P2 * 0,5) + (P3 * 0)</w:t>
      </w:r>
    </w:p>
    <w:p w:rsidR="004B6BF5" w:rsidRPr="006530A7" w:rsidRDefault="004B6BF5" w:rsidP="004B6BF5">
      <w:pPr>
        <w:pStyle w:val="Paragrafoelenco"/>
        <w:numPr>
          <w:ilvl w:val="0"/>
          <w:numId w:val="7"/>
        </w:numPr>
        <w:jc w:val="both"/>
        <w:rPr>
          <w:sz w:val="24"/>
          <w:szCs w:val="24"/>
        </w:rPr>
      </w:pPr>
      <w:r w:rsidRPr="006530A7">
        <w:rPr>
          <w:sz w:val="24"/>
          <w:szCs w:val="24"/>
        </w:rPr>
        <w:t xml:space="preserve">Dove </w:t>
      </w:r>
    </w:p>
    <w:p w:rsidR="004B6BF5" w:rsidRPr="006530A7" w:rsidRDefault="004B6BF5" w:rsidP="004B6BF5">
      <w:pPr>
        <w:pStyle w:val="Paragrafoelenco"/>
        <w:numPr>
          <w:ilvl w:val="0"/>
          <w:numId w:val="7"/>
        </w:numPr>
        <w:jc w:val="both"/>
        <w:rPr>
          <w:sz w:val="24"/>
          <w:szCs w:val="24"/>
        </w:rPr>
      </w:pPr>
      <w:r w:rsidRPr="006530A7">
        <w:rPr>
          <w:sz w:val="24"/>
          <w:szCs w:val="24"/>
        </w:rPr>
        <w:t>P1 = percentuale dei rispondenti che la situazione migliorerà</w:t>
      </w:r>
    </w:p>
    <w:p w:rsidR="004B6BF5" w:rsidRPr="006530A7" w:rsidRDefault="004B6BF5" w:rsidP="004B6BF5">
      <w:pPr>
        <w:pStyle w:val="Paragrafoelenco"/>
        <w:numPr>
          <w:ilvl w:val="0"/>
          <w:numId w:val="7"/>
        </w:numPr>
        <w:jc w:val="both"/>
        <w:rPr>
          <w:sz w:val="24"/>
          <w:szCs w:val="24"/>
        </w:rPr>
      </w:pPr>
      <w:r w:rsidRPr="006530A7">
        <w:rPr>
          <w:sz w:val="24"/>
          <w:szCs w:val="24"/>
        </w:rPr>
        <w:t>P2 = percentuale dei rispondenti che la situazione non subirà variazioni</w:t>
      </w:r>
    </w:p>
    <w:p w:rsidR="00730B40" w:rsidRPr="00831C03" w:rsidRDefault="004B6BF5" w:rsidP="00730B40">
      <w:pPr>
        <w:pStyle w:val="Paragrafoelenco"/>
        <w:numPr>
          <w:ilvl w:val="0"/>
          <w:numId w:val="7"/>
        </w:numPr>
        <w:jc w:val="both"/>
        <w:rPr>
          <w:sz w:val="24"/>
          <w:szCs w:val="24"/>
        </w:rPr>
      </w:pPr>
      <w:r w:rsidRPr="006530A7">
        <w:rPr>
          <w:sz w:val="24"/>
          <w:szCs w:val="24"/>
        </w:rPr>
        <w:t xml:space="preserve">P3= percentuale dei rispondenti che la situazione si deteriorerà  </w:t>
      </w:r>
    </w:p>
    <w:p w:rsidR="00D552E1" w:rsidRDefault="00D552E1" w:rsidP="00D552E1">
      <w:pPr>
        <w:jc w:val="both"/>
        <w:rPr>
          <w:sz w:val="24"/>
          <w:szCs w:val="24"/>
        </w:rPr>
      </w:pPr>
      <w:r>
        <w:rPr>
          <w:sz w:val="24"/>
          <w:szCs w:val="24"/>
        </w:rPr>
        <w:t xml:space="preserve">Analoga indagine è stata effettuata presso la rete Yard di tecnici e valutatori presente nelle diverse province italiane. </w:t>
      </w:r>
    </w:p>
    <w:p w:rsidR="003B7A29" w:rsidRPr="007673FF" w:rsidRDefault="00D552E1" w:rsidP="007673FF">
      <w:pPr>
        <w:jc w:val="both"/>
        <w:rPr>
          <w:sz w:val="24"/>
          <w:szCs w:val="24"/>
        </w:rPr>
      </w:pPr>
      <w:r>
        <w:rPr>
          <w:sz w:val="24"/>
          <w:szCs w:val="24"/>
        </w:rPr>
        <w:t>Il questionario strutturato ha ricompreso anche le valutazioni dei tecnici riguardo i vari aspetti del mercato immobiliare e le sue prospettive future al 2018, con i parametri di “miglioramento”, “stazionarietà” e “regresso”. Tali dati elaborati col metodo PMI hanno dato luogo ai diversi REI (Real Estate Italia) Index.</w:t>
      </w:r>
    </w:p>
    <w:sectPr w:rsidR="003B7A29" w:rsidRPr="007673FF" w:rsidSect="00977329">
      <w:pgSz w:w="11906" w:h="16838" w:code="9"/>
      <w:pgMar w:top="2835" w:right="1701" w:bottom="2268" w:left="1701" w:header="510" w:footer="680"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8E" w:rsidRDefault="009B338E" w:rsidP="004F05D9">
      <w:pPr>
        <w:spacing w:after="0" w:line="240" w:lineRule="auto"/>
      </w:pPr>
      <w:r>
        <w:separator/>
      </w:r>
    </w:p>
  </w:endnote>
  <w:endnote w:type="continuationSeparator" w:id="0">
    <w:p w:rsidR="009B338E" w:rsidRDefault="009B338E" w:rsidP="004F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D7" w:rsidRDefault="00AE56D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D7" w:rsidRDefault="00AE56D7" w:rsidP="00B911E3">
    <w:pPr>
      <w:pStyle w:val="Pidipagina"/>
      <w:tabs>
        <w:tab w:val="clear" w:pos="4819"/>
        <w:tab w:val="clear" w:pos="9638"/>
        <w:tab w:val="right" w:pos="8505"/>
      </w:tabs>
      <w:ind w:right="707"/>
    </w:pPr>
    <w:r>
      <w:rPr>
        <w:noProof/>
        <w:lang w:eastAsia="it-IT"/>
      </w:rPr>
      <w:drawing>
        <wp:inline distT="0" distB="0" distL="0" distR="0" wp14:anchorId="21B87AC2" wp14:editId="3D4A2FC8">
          <wp:extent cx="304800" cy="399826"/>
          <wp:effectExtent l="0" t="0" r="0" b="635"/>
          <wp:docPr id="575" name="Immagin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marchiotargacolo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827" cy="403796"/>
                  </a:xfrm>
                  <a:prstGeom prst="rect">
                    <a:avLst/>
                  </a:prstGeom>
                </pic:spPr>
              </pic:pic>
            </a:graphicData>
          </a:graphic>
        </wp:inline>
      </w:drawing>
    </w:r>
    <w:r>
      <w:tab/>
    </w:r>
    <w:sdt>
      <w:sdtPr>
        <w:id w:val="267134648"/>
        <w:docPartObj>
          <w:docPartGallery w:val="Page Numbers (Bottom of Page)"/>
          <w:docPartUnique/>
        </w:docPartObj>
      </w:sdtPr>
      <w:sdtEndPr/>
      <w:sdtContent>
        <w:r>
          <w:t xml:space="preserve">Pagina | </w:t>
        </w:r>
        <w:r>
          <w:fldChar w:fldCharType="begin"/>
        </w:r>
        <w:r>
          <w:instrText>PAGE   \* MERGEFORMAT</w:instrText>
        </w:r>
        <w:r>
          <w:fldChar w:fldCharType="separate"/>
        </w:r>
        <w:r w:rsidR="00455635">
          <w:rPr>
            <w:noProof/>
          </w:rPr>
          <w:t>3</w:t>
        </w:r>
        <w:r>
          <w:fldChar w:fldCharType="end"/>
        </w:r>
        <w:r>
          <w:t xml:space="preserve"> </w:t>
        </w:r>
      </w:sdtContent>
    </w:sdt>
  </w:p>
  <w:p w:rsidR="00AE56D7" w:rsidRDefault="00AE56D7" w:rsidP="0032782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D7" w:rsidRDefault="00AE56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8E" w:rsidRDefault="009B338E" w:rsidP="004F05D9">
      <w:pPr>
        <w:spacing w:after="0" w:line="240" w:lineRule="auto"/>
      </w:pPr>
      <w:r>
        <w:separator/>
      </w:r>
    </w:p>
  </w:footnote>
  <w:footnote w:type="continuationSeparator" w:id="0">
    <w:p w:rsidR="009B338E" w:rsidRDefault="009B338E" w:rsidP="004F0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D7" w:rsidRDefault="00AE56D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D7" w:rsidRPr="00F84B7A" w:rsidRDefault="00AE56D7" w:rsidP="006B0507">
    <w:pPr>
      <w:pStyle w:val="Intestazione"/>
      <w:pBdr>
        <w:bottom w:val="single" w:sz="4" w:space="1" w:color="A5A5A5" w:themeColor="background1" w:themeShade="A5"/>
      </w:pBdr>
      <w:tabs>
        <w:tab w:val="left" w:pos="2278"/>
        <w:tab w:val="left" w:pos="2580"/>
        <w:tab w:val="left" w:pos="2985"/>
        <w:tab w:val="right" w:pos="8504"/>
      </w:tabs>
      <w:rPr>
        <w:color w:val="7F7F7F" w:themeColor="text1" w:themeTint="80"/>
        <w:sz w:val="16"/>
        <w:szCs w:val="16"/>
      </w:rPr>
    </w:pPr>
    <w:r>
      <w:rPr>
        <w:b/>
        <w:sz w:val="16"/>
        <w:szCs w:val="16"/>
        <w:lang w:eastAsia="it-IT"/>
      </w:rPr>
      <w:tab/>
    </w:r>
    <w:r>
      <w:rPr>
        <w:b/>
        <w:sz w:val="16"/>
        <w:szCs w:val="16"/>
        <w:lang w:eastAsia="it-IT"/>
      </w:rPr>
      <w:tab/>
    </w:r>
    <w:r>
      <w:rPr>
        <w:b/>
        <w:sz w:val="16"/>
        <w:szCs w:val="16"/>
        <w:lang w:eastAsia="it-IT"/>
      </w:rPr>
      <w:tab/>
    </w:r>
    <w:r>
      <w:rPr>
        <w:b/>
        <w:sz w:val="16"/>
        <w:szCs w:val="16"/>
        <w:lang w:eastAsia="it-IT"/>
      </w:rPr>
      <w:tab/>
    </w:r>
    <w:r>
      <w:rPr>
        <w:b/>
        <w:sz w:val="16"/>
        <w:szCs w:val="16"/>
        <w:lang w:eastAsia="it-IT"/>
      </w:rPr>
      <w:tab/>
    </w:r>
    <w:r w:rsidRPr="00F84B7A">
      <w:rPr>
        <w:b/>
        <w:sz w:val="16"/>
        <w:szCs w:val="16"/>
        <w:lang w:eastAsia="it-IT"/>
      </w:rPr>
      <w:t xml:space="preserve">Rapporto di Previsioni sul Real Estate Italiano </w:t>
    </w:r>
  </w:p>
  <w:p w:rsidR="00AE56D7" w:rsidRDefault="00AE56D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D7" w:rsidRDefault="00AE56D7" w:rsidP="00560A0B">
    <w:pPr>
      <w:pStyle w:val="Intestazione"/>
      <w:jc w:val="center"/>
    </w:pPr>
    <w:r>
      <w:rPr>
        <w:noProof/>
        <w:lang w:eastAsia="it-IT"/>
      </w:rPr>
      <mc:AlternateContent>
        <mc:Choice Requires="wps">
          <w:drawing>
            <wp:anchor distT="0" distB="0" distL="114300" distR="114300" simplePos="0" relativeHeight="251658240" behindDoc="0" locked="0" layoutInCell="1" allowOverlap="1" wp14:anchorId="104C6852" wp14:editId="5E4AC33D">
              <wp:simplePos x="0" y="0"/>
              <wp:positionH relativeFrom="page">
                <wp:posOffset>5671185</wp:posOffset>
              </wp:positionH>
              <wp:positionV relativeFrom="page">
                <wp:posOffset>366395</wp:posOffset>
              </wp:positionV>
              <wp:extent cx="1880870" cy="9655810"/>
              <wp:effectExtent l="0" t="0" r="5080" b="2540"/>
              <wp:wrapNone/>
              <wp:docPr id="472" name="Rettango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b/>
                              <w:color w:val="FFFFFF" w:themeColor="background1"/>
                            </w:rPr>
                            <w:alias w:val="Sottotitolo"/>
                            <w:id w:val="-505288762"/>
                            <w:dataBinding w:prefixMappings="xmlns:ns0='http://schemas.openxmlformats.org/package/2006/metadata/core-properties' xmlns:ns1='http://purl.org/dc/elements/1.1/'" w:xpath="/ns0:coreProperties[1]/ns1:subject[1]" w:storeItemID="{6C3C8BC8-F283-45AE-878A-BAB7291924A1}"/>
                            <w:text/>
                          </w:sdtPr>
                          <w:sdtEndPr/>
                          <w:sdtContent>
                            <w:p w:rsidR="00AE56D7" w:rsidRPr="00A42230" w:rsidRDefault="00AE56D7" w:rsidP="00A42230">
                              <w:pPr>
                                <w:pStyle w:val="Sottotitolo"/>
                                <w:rPr>
                                  <w:rFonts w:cstheme="minorBidi"/>
                                  <w:b/>
                                  <w:color w:val="FFFFFF" w:themeColor="background1"/>
                                </w:rPr>
                              </w:pPr>
                              <w:r>
                                <w:rPr>
                                  <w:rFonts w:cstheme="minorBidi"/>
                                  <w:b/>
                                  <w:color w:val="FFFFFF" w:themeColor="background1"/>
                                </w:rPr>
                                <w:t>EMBARGO FINO ALLE 10.30 DEL 21 MARZO 2016</w:t>
                              </w:r>
                            </w:p>
                          </w:sdtContent>
                        </w:sdt>
                        <w:p w:rsidR="00AE56D7" w:rsidRPr="00C74565" w:rsidRDefault="00AE56D7" w:rsidP="00B169C9">
                          <w:pPr>
                            <w:rPr>
                              <w:b/>
                              <w:color w:val="FF0000"/>
                              <w:sz w:val="24"/>
                              <w:szCs w:val="24"/>
                              <w:lang w:eastAsia="it-IT"/>
                            </w:rPr>
                          </w:pPr>
                          <w:r w:rsidRPr="00C74565">
                            <w:rPr>
                              <w:b/>
                              <w:color w:val="FF0000"/>
                              <w:sz w:val="24"/>
                              <w:szCs w:val="24"/>
                              <w:lang w:eastAsia="it-IT"/>
                            </w:rPr>
                            <w:t>Roma, marzo 2016</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04C6852" id="Rettangolo 472" o:spid="_x0000_s1031" style="position:absolute;left:0;text-align:left;margin-left:446.55pt;margin-top:28.85pt;width:148.1pt;height:760.3pt;z-index:251658240;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" fillcolor="#44546a [3215]" stroked="f" strokeweight="1pt">
              <v:path arrowok="t"/>
              <v:textbox inset="14.4pt,,14.4pt">
                <w:txbxContent>
                  <w:sdt>
                    <w:sdtPr>
                      <w:rPr>
                        <w:rFonts w:cstheme="minorBidi"/>
                        <w:b/>
                        <w:color w:val="FFFFFF" w:themeColor="background1"/>
                      </w:rPr>
                      <w:alias w:val="Sottotitolo"/>
                      <w:id w:val="-505288762"/>
                      <w:dataBinding w:prefixMappings="xmlns:ns0='http://schemas.openxmlformats.org/package/2006/metadata/core-properties' xmlns:ns1='http://purl.org/dc/elements/1.1/'" w:xpath="/ns0:coreProperties[1]/ns1:subject[1]" w:storeItemID="{6C3C8BC8-F283-45AE-878A-BAB7291924A1}"/>
                      <w:text/>
                    </w:sdtPr>
                    <w:sdtEndPr/>
                    <w:sdtContent>
                      <w:p w:rsidR="00AE56D7" w:rsidRPr="00A42230" w:rsidRDefault="00AE56D7" w:rsidP="00A42230">
                        <w:pPr>
                          <w:pStyle w:val="Sottotitolo"/>
                          <w:rPr>
                            <w:rFonts w:cstheme="minorBidi"/>
                            <w:b/>
                            <w:color w:val="FFFFFF" w:themeColor="background1"/>
                          </w:rPr>
                        </w:pPr>
                        <w:r>
                          <w:rPr>
                            <w:rFonts w:cstheme="minorBidi"/>
                            <w:b/>
                            <w:color w:val="FFFFFF" w:themeColor="background1"/>
                          </w:rPr>
                          <w:t>EMBARGO FINO ALLE 10.30 DEL 21 MARZO 2016</w:t>
                        </w:r>
                      </w:p>
                    </w:sdtContent>
                  </w:sdt>
                  <w:p w:rsidR="00AE56D7" w:rsidRPr="00C74565" w:rsidRDefault="00AE56D7" w:rsidP="00B169C9">
                    <w:pPr>
                      <w:rPr>
                        <w:b/>
                        <w:color w:val="FF0000"/>
                        <w:sz w:val="24"/>
                        <w:szCs w:val="24"/>
                        <w:lang w:eastAsia="it-IT"/>
                      </w:rPr>
                    </w:pPr>
                    <w:r w:rsidRPr="00C74565">
                      <w:rPr>
                        <w:b/>
                        <w:color w:val="FF0000"/>
                        <w:sz w:val="24"/>
                        <w:szCs w:val="24"/>
                        <w:lang w:eastAsia="it-IT"/>
                      </w:rPr>
                      <w:t>Roma, marzo 2016</w:t>
                    </w:r>
                  </w:p>
                </w:txbxContent>
              </v:textbox>
              <w10:wrap anchorx="page" anchory="page"/>
            </v:rect>
          </w:pict>
        </mc:Fallback>
      </mc:AlternateContent>
    </w:r>
    <w:r>
      <w:rPr>
        <w:noProof/>
        <w:lang w:eastAsia="it-IT"/>
      </w:rPr>
      <mc:AlternateContent>
        <mc:Choice Requires="wps">
          <w:drawing>
            <wp:anchor distT="0" distB="0" distL="114300" distR="114300" simplePos="0" relativeHeight="251656192" behindDoc="0" locked="0" layoutInCell="1" allowOverlap="1" wp14:anchorId="7530F6DD" wp14:editId="727B7837">
              <wp:simplePos x="0" y="0"/>
              <wp:positionH relativeFrom="page">
                <wp:posOffset>303530</wp:posOffset>
              </wp:positionH>
              <wp:positionV relativeFrom="page">
                <wp:posOffset>366395</wp:posOffset>
              </wp:positionV>
              <wp:extent cx="5363210" cy="9653270"/>
              <wp:effectExtent l="0" t="0" r="8890" b="2540"/>
              <wp:wrapNone/>
              <wp:docPr id="471"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b/>
                              <w:color w:val="FFFFFF" w:themeColor="background1"/>
                              <w:sz w:val="56"/>
                              <w:szCs w:val="56"/>
                            </w:rPr>
                            <w:alias w:val="Sunto"/>
                            <w:id w:val="-1812170092"/>
                            <w:dataBinding w:prefixMappings="xmlns:ns0='http://schemas.microsoft.com/office/2006/coverPageProps'" w:xpath="/ns0:CoverPageProperties[1]/ns0:Abstract[1]" w:storeItemID="{55AF091B-3C7A-41E3-B477-F2FDAA23CFDA}"/>
                            <w:text/>
                          </w:sdtPr>
                          <w:sdtEndPr/>
                          <w:sdtContent>
                            <w:p w:rsidR="00AE56D7" w:rsidRDefault="00AE56D7" w:rsidP="00B169C9">
                              <w:pPr>
                                <w:spacing w:before="240"/>
                                <w:ind w:left="1008"/>
                                <w:rPr>
                                  <w:b/>
                                  <w:color w:val="FFFFFF" w:themeColor="background1"/>
                                  <w:sz w:val="56"/>
                                  <w:szCs w:val="56"/>
                                </w:rPr>
                              </w:pPr>
                              <w:r w:rsidRPr="00B169C9">
                                <w:rPr>
                                  <w:b/>
                                  <w:color w:val="FFFFFF" w:themeColor="background1"/>
                                  <w:sz w:val="56"/>
                                  <w:szCs w:val="56"/>
                                </w:rPr>
                                <w:t xml:space="preserve">RAPPORTO DI PREVISIONI SUL REAL ESTATE ITALIANO </w:t>
                              </w:r>
                            </w:p>
                          </w:sdtContent>
                        </w:sdt>
                        <w:p w:rsidR="00AE56D7" w:rsidRDefault="00AE56D7" w:rsidP="00B169C9">
                          <w:pPr>
                            <w:spacing w:before="240"/>
                            <w:ind w:left="720"/>
                            <w:jc w:val="right"/>
                            <w:rPr>
                              <w:color w:val="FFFFFF" w:themeColor="background1"/>
                            </w:rPr>
                          </w:pPr>
                        </w:p>
                        <w:p w:rsidR="00AE56D7" w:rsidRPr="00A42230" w:rsidRDefault="00AE56D7" w:rsidP="00B169C9">
                          <w:pPr>
                            <w:spacing w:before="240"/>
                            <w:ind w:left="1008"/>
                            <w:rPr>
                              <w:color w:val="FFFFFF" w:themeColor="background1"/>
                              <w:sz w:val="36"/>
                              <w:szCs w:val="36"/>
                            </w:rPr>
                          </w:pPr>
                          <w:r w:rsidRPr="00A42230">
                            <w:rPr>
                              <w:b/>
                              <w:i/>
                              <w:color w:val="FFFFFF" w:themeColor="background1"/>
                              <w:sz w:val="28"/>
                              <w:szCs w:val="28"/>
                            </w:rPr>
                            <w:t>Realizzato da</w:t>
                          </w:r>
                          <w:r w:rsidRPr="00B169C9">
                            <w:rPr>
                              <w:b/>
                              <w:i/>
                              <w:color w:val="FFFFFF" w:themeColor="background1"/>
                              <w:sz w:val="28"/>
                              <w:szCs w:val="28"/>
                            </w:rPr>
                            <w:t xml:space="preserve"> </w:t>
                          </w:r>
                          <w:r>
                            <w:rPr>
                              <w:b/>
                              <w:i/>
                              <w:color w:val="FFFFFF" w:themeColor="background1"/>
                              <w:sz w:val="28"/>
                              <w:szCs w:val="28"/>
                            </w:rPr>
                            <w:br/>
                          </w:r>
                          <w:r w:rsidRPr="00A42230">
                            <w:rPr>
                              <w:b/>
                              <w:color w:val="FFFFFF" w:themeColor="background1"/>
                              <w:sz w:val="36"/>
                              <w:szCs w:val="36"/>
                            </w:rPr>
                            <w:t xml:space="preserve">RUR – Rete Urbana </w:t>
                          </w:r>
                          <w:r>
                            <w:rPr>
                              <w:b/>
                              <w:color w:val="FFFFFF" w:themeColor="background1"/>
                              <w:sz w:val="36"/>
                              <w:szCs w:val="36"/>
                            </w:rPr>
                            <w:t xml:space="preserve">delle Rappresentanze </w:t>
                          </w:r>
                          <w:r>
                            <w:rPr>
                              <w:b/>
                              <w:color w:val="FFFFFF" w:themeColor="background1"/>
                              <w:sz w:val="36"/>
                              <w:szCs w:val="36"/>
                            </w:rPr>
                            <w:br/>
                            <w:t xml:space="preserve">per YARD </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530F6DD" id="Rettangolo 16" o:spid="_x0000_s1032" style="position:absolute;left:0;text-align:left;margin-left:23.9pt;margin-top:28.85pt;width:422.3pt;height:760.1pt;z-index:251656192;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8tBQIAAO4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" fillcolor="#5b9bd5 [3204]" stroked="f">
              <v:path arrowok="t"/>
              <v:textbox inset="21.6pt,1in,21.6pt">
                <w:txbxContent>
                  <w:sdt>
                    <w:sdtPr>
                      <w:rPr>
                        <w:b/>
                        <w:color w:val="FFFFFF" w:themeColor="background1"/>
                        <w:sz w:val="56"/>
                        <w:szCs w:val="56"/>
                      </w:rPr>
                      <w:alias w:val="Sunto"/>
                      <w:id w:val="-1812170092"/>
                      <w:dataBinding w:prefixMappings="xmlns:ns0='http://schemas.microsoft.com/office/2006/coverPageProps'" w:xpath="/ns0:CoverPageProperties[1]/ns0:Abstract[1]" w:storeItemID="{55AF091B-3C7A-41E3-B477-F2FDAA23CFDA}"/>
                      <w:text/>
                    </w:sdtPr>
                    <w:sdtEndPr/>
                    <w:sdtContent>
                      <w:p w:rsidR="00AE56D7" w:rsidRDefault="00AE56D7" w:rsidP="00B169C9">
                        <w:pPr>
                          <w:spacing w:before="240"/>
                          <w:ind w:left="1008"/>
                          <w:rPr>
                            <w:b/>
                            <w:color w:val="FFFFFF" w:themeColor="background1"/>
                            <w:sz w:val="56"/>
                            <w:szCs w:val="56"/>
                          </w:rPr>
                        </w:pPr>
                        <w:r w:rsidRPr="00B169C9">
                          <w:rPr>
                            <w:b/>
                            <w:color w:val="FFFFFF" w:themeColor="background1"/>
                            <w:sz w:val="56"/>
                            <w:szCs w:val="56"/>
                          </w:rPr>
                          <w:t xml:space="preserve">RAPPORTO DI PREVISIONI SUL REAL ESTATE ITALIANO </w:t>
                        </w:r>
                      </w:p>
                    </w:sdtContent>
                  </w:sdt>
                  <w:p w:rsidR="00AE56D7" w:rsidRDefault="00AE56D7" w:rsidP="00B169C9">
                    <w:pPr>
                      <w:spacing w:before="240"/>
                      <w:ind w:left="720"/>
                      <w:jc w:val="right"/>
                      <w:rPr>
                        <w:color w:val="FFFFFF" w:themeColor="background1"/>
                      </w:rPr>
                    </w:pPr>
                  </w:p>
                  <w:p w:rsidR="00AE56D7" w:rsidRPr="00A42230" w:rsidRDefault="00AE56D7" w:rsidP="00B169C9">
                    <w:pPr>
                      <w:spacing w:before="240"/>
                      <w:ind w:left="1008"/>
                      <w:rPr>
                        <w:color w:val="FFFFFF" w:themeColor="background1"/>
                        <w:sz w:val="36"/>
                        <w:szCs w:val="36"/>
                      </w:rPr>
                    </w:pPr>
                    <w:r w:rsidRPr="00A42230">
                      <w:rPr>
                        <w:b/>
                        <w:i/>
                        <w:color w:val="FFFFFF" w:themeColor="background1"/>
                        <w:sz w:val="28"/>
                        <w:szCs w:val="28"/>
                      </w:rPr>
                      <w:t>Realizzato da</w:t>
                    </w:r>
                    <w:r w:rsidRPr="00B169C9">
                      <w:rPr>
                        <w:b/>
                        <w:i/>
                        <w:color w:val="FFFFFF" w:themeColor="background1"/>
                        <w:sz w:val="28"/>
                        <w:szCs w:val="28"/>
                      </w:rPr>
                      <w:t xml:space="preserve"> </w:t>
                    </w:r>
                    <w:r>
                      <w:rPr>
                        <w:b/>
                        <w:i/>
                        <w:color w:val="FFFFFF" w:themeColor="background1"/>
                        <w:sz w:val="28"/>
                        <w:szCs w:val="28"/>
                      </w:rPr>
                      <w:br/>
                    </w:r>
                    <w:r w:rsidRPr="00A42230">
                      <w:rPr>
                        <w:b/>
                        <w:color w:val="FFFFFF" w:themeColor="background1"/>
                        <w:sz w:val="36"/>
                        <w:szCs w:val="36"/>
                      </w:rPr>
                      <w:t xml:space="preserve">RUR – Rete Urbana </w:t>
                    </w:r>
                    <w:r>
                      <w:rPr>
                        <w:b/>
                        <w:color w:val="FFFFFF" w:themeColor="background1"/>
                        <w:sz w:val="36"/>
                        <w:szCs w:val="36"/>
                      </w:rPr>
                      <w:t xml:space="preserve">delle Rappresentanze </w:t>
                    </w:r>
                    <w:r>
                      <w:rPr>
                        <w:b/>
                        <w:color w:val="FFFFFF" w:themeColor="background1"/>
                        <w:sz w:val="36"/>
                        <w:szCs w:val="36"/>
                      </w:rPr>
                      <w:br/>
                      <w:t xml:space="preserve">per YARD </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FCB"/>
    <w:multiLevelType w:val="hybridMultilevel"/>
    <w:tmpl w:val="EF52E3BA"/>
    <w:lvl w:ilvl="0" w:tplc="9012A380">
      <w:start w:val="3"/>
      <w:numFmt w:val="bullet"/>
      <w:lvlText w:val="-"/>
      <w:lvlJc w:val="left"/>
      <w:pPr>
        <w:ind w:left="1430" w:hanging="360"/>
      </w:pPr>
      <w:rPr>
        <w:rFonts w:ascii="Calibri" w:eastAsiaTheme="minorHAnsi" w:hAnsi="Calibri" w:cs="Calibri"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 w15:restartNumberingAfterBreak="0">
    <w:nsid w:val="030A3323"/>
    <w:multiLevelType w:val="hybridMultilevel"/>
    <w:tmpl w:val="5AE20E34"/>
    <w:lvl w:ilvl="0" w:tplc="ED102C1A">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15630D"/>
    <w:multiLevelType w:val="multilevel"/>
    <w:tmpl w:val="89CE10CA"/>
    <w:lvl w:ilvl="0">
      <w:numFmt w:val="bullet"/>
      <w:lvlText w:val="-"/>
      <w:lvlJc w:val="left"/>
      <w:pPr>
        <w:ind w:left="720" w:hanging="360"/>
      </w:pPr>
      <w:rPr>
        <w:rFonts w:ascii="Calibri" w:hAnsi="Calibri" w:cs="Calibri"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D210CF"/>
    <w:multiLevelType w:val="hybridMultilevel"/>
    <w:tmpl w:val="0AD88004"/>
    <w:lvl w:ilvl="0" w:tplc="9012A38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B67485"/>
    <w:multiLevelType w:val="hybridMultilevel"/>
    <w:tmpl w:val="F0209660"/>
    <w:lvl w:ilvl="0" w:tplc="E19C9EAE">
      <w:start w:val="7"/>
      <w:numFmt w:val="bullet"/>
      <w:lvlText w:val="﷐"/>
      <w:lvlJc w:val="left"/>
      <w:pPr>
        <w:ind w:left="750" w:hanging="39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585A18"/>
    <w:multiLevelType w:val="hybridMultilevel"/>
    <w:tmpl w:val="0ABE8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3E47B4"/>
    <w:multiLevelType w:val="hybridMultilevel"/>
    <w:tmpl w:val="04C44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8521E"/>
    <w:multiLevelType w:val="multilevel"/>
    <w:tmpl w:val="0744FE32"/>
    <w:lvl w:ilvl="0">
      <w:start w:val="1"/>
      <w:numFmt w:val="decimal"/>
      <w:lvlText w:val="%1."/>
      <w:lvlJc w:val="left"/>
      <w:pPr>
        <w:ind w:left="435" w:hanging="43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C26AAA"/>
    <w:multiLevelType w:val="hybridMultilevel"/>
    <w:tmpl w:val="8CE25654"/>
    <w:lvl w:ilvl="0" w:tplc="9012A38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FD52B9"/>
    <w:multiLevelType w:val="hybridMultilevel"/>
    <w:tmpl w:val="CF465896"/>
    <w:lvl w:ilvl="0" w:tplc="0410000F">
      <w:start w:val="1"/>
      <w:numFmt w:val="decimal"/>
      <w:lvlText w:val="%1."/>
      <w:lvlJc w:val="left"/>
      <w:pPr>
        <w:ind w:left="107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83A23AB"/>
    <w:multiLevelType w:val="hybridMultilevel"/>
    <w:tmpl w:val="E6DE85DA"/>
    <w:lvl w:ilvl="0" w:tplc="9012A380">
      <w:start w:val="3"/>
      <w:numFmt w:val="bullet"/>
      <w:lvlText w:val="-"/>
      <w:lvlJc w:val="left"/>
      <w:pPr>
        <w:ind w:left="1070" w:hanging="360"/>
      </w:pPr>
      <w:rPr>
        <w:rFonts w:ascii="Calibri" w:eastAsiaTheme="minorHAnsi" w:hAnsi="Calibri" w:cs="Calibri"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1" w15:restartNumberingAfterBreak="0">
    <w:nsid w:val="4CCD0BF1"/>
    <w:multiLevelType w:val="multilevel"/>
    <w:tmpl w:val="C204BD5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2" w15:restartNumberingAfterBreak="0">
    <w:nsid w:val="4EBE023E"/>
    <w:multiLevelType w:val="hybridMultilevel"/>
    <w:tmpl w:val="4A6C8A8C"/>
    <w:lvl w:ilvl="0" w:tplc="9012A38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142D8E"/>
    <w:multiLevelType w:val="multilevel"/>
    <w:tmpl w:val="A636F610"/>
    <w:lvl w:ilvl="0">
      <w:start w:val="1"/>
      <w:numFmt w:val="decimal"/>
      <w:lvlText w:val="%1."/>
      <w:lvlJc w:val="left"/>
      <w:pPr>
        <w:ind w:left="4831"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5191" w:hanging="720"/>
      </w:pPr>
      <w:rPr>
        <w:rFonts w:hint="default"/>
      </w:rPr>
    </w:lvl>
    <w:lvl w:ilvl="3">
      <w:start w:val="1"/>
      <w:numFmt w:val="decimal"/>
      <w:isLgl/>
      <w:lvlText w:val="%1.%2.%3.%4."/>
      <w:lvlJc w:val="left"/>
      <w:pPr>
        <w:ind w:left="5551" w:hanging="1080"/>
      </w:pPr>
      <w:rPr>
        <w:rFonts w:hint="default"/>
      </w:rPr>
    </w:lvl>
    <w:lvl w:ilvl="4">
      <w:start w:val="1"/>
      <w:numFmt w:val="decimal"/>
      <w:isLgl/>
      <w:lvlText w:val="%1.%2.%3.%4.%5."/>
      <w:lvlJc w:val="left"/>
      <w:pPr>
        <w:ind w:left="5551" w:hanging="1080"/>
      </w:pPr>
      <w:rPr>
        <w:rFonts w:hint="default"/>
      </w:rPr>
    </w:lvl>
    <w:lvl w:ilvl="5">
      <w:start w:val="1"/>
      <w:numFmt w:val="decimal"/>
      <w:isLgl/>
      <w:lvlText w:val="%1.%2.%3.%4.%5.%6."/>
      <w:lvlJc w:val="left"/>
      <w:pPr>
        <w:ind w:left="5911" w:hanging="1440"/>
      </w:pPr>
      <w:rPr>
        <w:rFonts w:hint="default"/>
      </w:rPr>
    </w:lvl>
    <w:lvl w:ilvl="6">
      <w:start w:val="1"/>
      <w:numFmt w:val="decimal"/>
      <w:isLgl/>
      <w:lvlText w:val="%1.%2.%3.%4.%5.%6.%7."/>
      <w:lvlJc w:val="left"/>
      <w:pPr>
        <w:ind w:left="5911" w:hanging="1440"/>
      </w:pPr>
      <w:rPr>
        <w:rFonts w:hint="default"/>
      </w:rPr>
    </w:lvl>
    <w:lvl w:ilvl="7">
      <w:start w:val="1"/>
      <w:numFmt w:val="decimal"/>
      <w:isLgl/>
      <w:lvlText w:val="%1.%2.%3.%4.%5.%6.%7.%8."/>
      <w:lvlJc w:val="left"/>
      <w:pPr>
        <w:ind w:left="6271" w:hanging="1800"/>
      </w:pPr>
      <w:rPr>
        <w:rFonts w:hint="default"/>
      </w:rPr>
    </w:lvl>
    <w:lvl w:ilvl="8">
      <w:start w:val="1"/>
      <w:numFmt w:val="decimal"/>
      <w:isLgl/>
      <w:lvlText w:val="%1.%2.%3.%4.%5.%6.%7.%8.%9."/>
      <w:lvlJc w:val="left"/>
      <w:pPr>
        <w:ind w:left="6271" w:hanging="1800"/>
      </w:pPr>
      <w:rPr>
        <w:rFonts w:hint="default"/>
      </w:rPr>
    </w:lvl>
  </w:abstractNum>
  <w:abstractNum w:abstractNumId="14" w15:restartNumberingAfterBreak="0">
    <w:nsid w:val="5AA362D3"/>
    <w:multiLevelType w:val="multilevel"/>
    <w:tmpl w:val="5C86F3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9D69E1"/>
    <w:multiLevelType w:val="hybridMultilevel"/>
    <w:tmpl w:val="78A4B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442A9"/>
    <w:multiLevelType w:val="hybridMultilevel"/>
    <w:tmpl w:val="4D6C98D0"/>
    <w:lvl w:ilvl="0" w:tplc="5964E40C">
      <w:start w:val="100"/>
      <w:numFmt w:val="bullet"/>
      <w:lvlText w:val="﷐"/>
      <w:lvlJc w:val="left"/>
      <w:pPr>
        <w:ind w:left="750" w:hanging="39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60125B"/>
    <w:multiLevelType w:val="hybridMultilevel"/>
    <w:tmpl w:val="A106CC86"/>
    <w:lvl w:ilvl="0" w:tplc="9012A38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2329B3"/>
    <w:multiLevelType w:val="multilevel"/>
    <w:tmpl w:val="BE5A0F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4006FA4"/>
    <w:multiLevelType w:val="hybridMultilevel"/>
    <w:tmpl w:val="1C786CD4"/>
    <w:lvl w:ilvl="0" w:tplc="FE521E62">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7688226A"/>
    <w:multiLevelType w:val="hybridMultilevel"/>
    <w:tmpl w:val="4822B8BA"/>
    <w:lvl w:ilvl="0" w:tplc="083C245C">
      <w:start w:val="5"/>
      <w:numFmt w:val="bullet"/>
      <w:lvlText w:val="-"/>
      <w:lvlJc w:val="left"/>
      <w:pPr>
        <w:ind w:left="405" w:hanging="360"/>
      </w:pPr>
      <w:rPr>
        <w:rFonts w:ascii="Calibri" w:eastAsiaTheme="minorHAnsi" w:hAnsi="Calibri" w:cs="Calibri" w:hint="default"/>
      </w:rPr>
    </w:lvl>
    <w:lvl w:ilvl="1" w:tplc="04100003">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1" w15:restartNumberingAfterBreak="0">
    <w:nsid w:val="77D50684"/>
    <w:multiLevelType w:val="hybridMultilevel"/>
    <w:tmpl w:val="43BCC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0425D"/>
    <w:multiLevelType w:val="multilevel"/>
    <w:tmpl w:val="58FC18C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15:restartNumberingAfterBreak="0">
    <w:nsid w:val="7CAD3E7C"/>
    <w:multiLevelType w:val="multilevel"/>
    <w:tmpl w:val="CE2E6B04"/>
    <w:lvl w:ilvl="0">
      <w:start w:val="2"/>
      <w:numFmt w:val="decimal"/>
      <w:lvlText w:val="%1."/>
      <w:lvlJc w:val="left"/>
      <w:pPr>
        <w:ind w:left="720"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9"/>
  </w:num>
  <w:num w:numId="4">
    <w:abstractNumId w:val="10"/>
  </w:num>
  <w:num w:numId="5">
    <w:abstractNumId w:val="22"/>
  </w:num>
  <w:num w:numId="6">
    <w:abstractNumId w:val="11"/>
  </w:num>
  <w:num w:numId="7">
    <w:abstractNumId w:val="2"/>
  </w:num>
  <w:num w:numId="8">
    <w:abstractNumId w:val="14"/>
  </w:num>
  <w:num w:numId="9">
    <w:abstractNumId w:val="15"/>
  </w:num>
  <w:num w:numId="10">
    <w:abstractNumId w:val="5"/>
  </w:num>
  <w:num w:numId="11">
    <w:abstractNumId w:val="6"/>
  </w:num>
  <w:num w:numId="12">
    <w:abstractNumId w:val="21"/>
  </w:num>
  <w:num w:numId="13">
    <w:abstractNumId w:val="23"/>
  </w:num>
  <w:num w:numId="14">
    <w:abstractNumId w:val="4"/>
  </w:num>
  <w:num w:numId="15">
    <w:abstractNumId w:val="16"/>
  </w:num>
  <w:num w:numId="16">
    <w:abstractNumId w:val="13"/>
  </w:num>
  <w:num w:numId="17">
    <w:abstractNumId w:val="7"/>
  </w:num>
  <w:num w:numId="18">
    <w:abstractNumId w:val="1"/>
  </w:num>
  <w:num w:numId="19">
    <w:abstractNumId w:val="8"/>
  </w:num>
  <w:num w:numId="20">
    <w:abstractNumId w:val="3"/>
  </w:num>
  <w:num w:numId="21">
    <w:abstractNumId w:val="12"/>
  </w:num>
  <w:num w:numId="22">
    <w:abstractNumId w:val="17"/>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6B"/>
    <w:rsid w:val="0000283F"/>
    <w:rsid w:val="000052C4"/>
    <w:rsid w:val="00005AFE"/>
    <w:rsid w:val="000150D5"/>
    <w:rsid w:val="00015718"/>
    <w:rsid w:val="00020EBA"/>
    <w:rsid w:val="00024452"/>
    <w:rsid w:val="00026893"/>
    <w:rsid w:val="00034209"/>
    <w:rsid w:val="00036EA0"/>
    <w:rsid w:val="00040C42"/>
    <w:rsid w:val="000428FA"/>
    <w:rsid w:val="0004324B"/>
    <w:rsid w:val="00046C06"/>
    <w:rsid w:val="00047C29"/>
    <w:rsid w:val="00050B0B"/>
    <w:rsid w:val="00051A2C"/>
    <w:rsid w:val="00055B3E"/>
    <w:rsid w:val="00055D9E"/>
    <w:rsid w:val="0005700E"/>
    <w:rsid w:val="0005723C"/>
    <w:rsid w:val="00062516"/>
    <w:rsid w:val="000635A3"/>
    <w:rsid w:val="00064043"/>
    <w:rsid w:val="000644C0"/>
    <w:rsid w:val="00076776"/>
    <w:rsid w:val="00081038"/>
    <w:rsid w:val="000850F4"/>
    <w:rsid w:val="00085ED1"/>
    <w:rsid w:val="00091E8D"/>
    <w:rsid w:val="00092339"/>
    <w:rsid w:val="000941DF"/>
    <w:rsid w:val="00097460"/>
    <w:rsid w:val="00097AFE"/>
    <w:rsid w:val="00097CC2"/>
    <w:rsid w:val="000A0589"/>
    <w:rsid w:val="000A20E0"/>
    <w:rsid w:val="000A76B5"/>
    <w:rsid w:val="000B35C4"/>
    <w:rsid w:val="000B4388"/>
    <w:rsid w:val="000B5AA5"/>
    <w:rsid w:val="000B5DEB"/>
    <w:rsid w:val="000B6E7B"/>
    <w:rsid w:val="000C0D73"/>
    <w:rsid w:val="000C1BF9"/>
    <w:rsid w:val="000C2C9A"/>
    <w:rsid w:val="000C3755"/>
    <w:rsid w:val="000C57ED"/>
    <w:rsid w:val="000D1145"/>
    <w:rsid w:val="000D4635"/>
    <w:rsid w:val="000D608C"/>
    <w:rsid w:val="000E7109"/>
    <w:rsid w:val="000E7DEB"/>
    <w:rsid w:val="000F146D"/>
    <w:rsid w:val="000F1FA9"/>
    <w:rsid w:val="000F2C6A"/>
    <w:rsid w:val="000F2D8C"/>
    <w:rsid w:val="000F4B89"/>
    <w:rsid w:val="000F4C68"/>
    <w:rsid w:val="000F60ED"/>
    <w:rsid w:val="000F71BF"/>
    <w:rsid w:val="0010063B"/>
    <w:rsid w:val="001025CC"/>
    <w:rsid w:val="001045A8"/>
    <w:rsid w:val="00105231"/>
    <w:rsid w:val="0011381F"/>
    <w:rsid w:val="00117CFA"/>
    <w:rsid w:val="00121F63"/>
    <w:rsid w:val="00125A63"/>
    <w:rsid w:val="001276D0"/>
    <w:rsid w:val="0013044F"/>
    <w:rsid w:val="00130690"/>
    <w:rsid w:val="001329CC"/>
    <w:rsid w:val="00143F73"/>
    <w:rsid w:val="00145AB9"/>
    <w:rsid w:val="0014628E"/>
    <w:rsid w:val="00152A72"/>
    <w:rsid w:val="00153622"/>
    <w:rsid w:val="00157B73"/>
    <w:rsid w:val="0016224D"/>
    <w:rsid w:val="00163D27"/>
    <w:rsid w:val="00164532"/>
    <w:rsid w:val="001665F6"/>
    <w:rsid w:val="001667C3"/>
    <w:rsid w:val="00167B2F"/>
    <w:rsid w:val="0017055C"/>
    <w:rsid w:val="00171164"/>
    <w:rsid w:val="00172133"/>
    <w:rsid w:val="00174953"/>
    <w:rsid w:val="00174E4F"/>
    <w:rsid w:val="00183937"/>
    <w:rsid w:val="0018409D"/>
    <w:rsid w:val="00185664"/>
    <w:rsid w:val="00190B94"/>
    <w:rsid w:val="001917EA"/>
    <w:rsid w:val="001948EA"/>
    <w:rsid w:val="001B2396"/>
    <w:rsid w:val="001B44D5"/>
    <w:rsid w:val="001B5AE7"/>
    <w:rsid w:val="001C3993"/>
    <w:rsid w:val="001D4EAF"/>
    <w:rsid w:val="001D67B4"/>
    <w:rsid w:val="001E06AD"/>
    <w:rsid w:val="001E6022"/>
    <w:rsid w:val="001F2D01"/>
    <w:rsid w:val="001F3C55"/>
    <w:rsid w:val="001F4A61"/>
    <w:rsid w:val="001F50C3"/>
    <w:rsid w:val="0020133C"/>
    <w:rsid w:val="00202469"/>
    <w:rsid w:val="00206728"/>
    <w:rsid w:val="00207B36"/>
    <w:rsid w:val="00213E9A"/>
    <w:rsid w:val="002148E6"/>
    <w:rsid w:val="00215B7F"/>
    <w:rsid w:val="00216449"/>
    <w:rsid w:val="0021744B"/>
    <w:rsid w:val="00217A7A"/>
    <w:rsid w:val="00221A09"/>
    <w:rsid w:val="002250F6"/>
    <w:rsid w:val="0022511B"/>
    <w:rsid w:val="002263DB"/>
    <w:rsid w:val="002302B5"/>
    <w:rsid w:val="0023366A"/>
    <w:rsid w:val="002417BD"/>
    <w:rsid w:val="00243AB1"/>
    <w:rsid w:val="0025068B"/>
    <w:rsid w:val="00251F8D"/>
    <w:rsid w:val="00253189"/>
    <w:rsid w:val="002533F4"/>
    <w:rsid w:val="00253903"/>
    <w:rsid w:val="00255609"/>
    <w:rsid w:val="00264DED"/>
    <w:rsid w:val="002701DA"/>
    <w:rsid w:val="0027115A"/>
    <w:rsid w:val="00271D85"/>
    <w:rsid w:val="002736F0"/>
    <w:rsid w:val="0027437F"/>
    <w:rsid w:val="00276EC1"/>
    <w:rsid w:val="00280D6F"/>
    <w:rsid w:val="00283A77"/>
    <w:rsid w:val="00290631"/>
    <w:rsid w:val="00290DA3"/>
    <w:rsid w:val="00294BE8"/>
    <w:rsid w:val="00295401"/>
    <w:rsid w:val="00295F76"/>
    <w:rsid w:val="00296B00"/>
    <w:rsid w:val="00296DBB"/>
    <w:rsid w:val="002A6F60"/>
    <w:rsid w:val="002A7032"/>
    <w:rsid w:val="002B478F"/>
    <w:rsid w:val="002C2E6D"/>
    <w:rsid w:val="002C67C1"/>
    <w:rsid w:val="002D4C10"/>
    <w:rsid w:val="002D6CCB"/>
    <w:rsid w:val="002E3B46"/>
    <w:rsid w:val="002E4C47"/>
    <w:rsid w:val="002F36F3"/>
    <w:rsid w:val="002F5292"/>
    <w:rsid w:val="00303806"/>
    <w:rsid w:val="003059CF"/>
    <w:rsid w:val="00306638"/>
    <w:rsid w:val="00315E47"/>
    <w:rsid w:val="0031643F"/>
    <w:rsid w:val="00316E87"/>
    <w:rsid w:val="00317949"/>
    <w:rsid w:val="00320F82"/>
    <w:rsid w:val="00327828"/>
    <w:rsid w:val="00335856"/>
    <w:rsid w:val="003453A8"/>
    <w:rsid w:val="00360950"/>
    <w:rsid w:val="003621CD"/>
    <w:rsid w:val="00364231"/>
    <w:rsid w:val="003672E6"/>
    <w:rsid w:val="003853B4"/>
    <w:rsid w:val="00385F3B"/>
    <w:rsid w:val="00386722"/>
    <w:rsid w:val="00390697"/>
    <w:rsid w:val="00395B30"/>
    <w:rsid w:val="00397E9C"/>
    <w:rsid w:val="003A2116"/>
    <w:rsid w:val="003A2821"/>
    <w:rsid w:val="003A29E5"/>
    <w:rsid w:val="003A5513"/>
    <w:rsid w:val="003A56E7"/>
    <w:rsid w:val="003A5C50"/>
    <w:rsid w:val="003A5DAF"/>
    <w:rsid w:val="003B015D"/>
    <w:rsid w:val="003B0595"/>
    <w:rsid w:val="003B5640"/>
    <w:rsid w:val="003B7A29"/>
    <w:rsid w:val="003C2044"/>
    <w:rsid w:val="003C4E64"/>
    <w:rsid w:val="003C58BB"/>
    <w:rsid w:val="003D6CF4"/>
    <w:rsid w:val="003E2627"/>
    <w:rsid w:val="003F0759"/>
    <w:rsid w:val="003F415D"/>
    <w:rsid w:val="003F47BA"/>
    <w:rsid w:val="003F5C03"/>
    <w:rsid w:val="003F767B"/>
    <w:rsid w:val="00400AD3"/>
    <w:rsid w:val="00402E4D"/>
    <w:rsid w:val="00403CBE"/>
    <w:rsid w:val="004107D8"/>
    <w:rsid w:val="004168C7"/>
    <w:rsid w:val="004205E4"/>
    <w:rsid w:val="00425183"/>
    <w:rsid w:val="0042623C"/>
    <w:rsid w:val="004307E3"/>
    <w:rsid w:val="00430A44"/>
    <w:rsid w:val="00436DA0"/>
    <w:rsid w:val="00440039"/>
    <w:rsid w:val="004416A0"/>
    <w:rsid w:val="00441BAE"/>
    <w:rsid w:val="00444AF3"/>
    <w:rsid w:val="004501C5"/>
    <w:rsid w:val="004528F9"/>
    <w:rsid w:val="00454516"/>
    <w:rsid w:val="00454666"/>
    <w:rsid w:val="00455635"/>
    <w:rsid w:val="00466857"/>
    <w:rsid w:val="0046725F"/>
    <w:rsid w:val="004673FF"/>
    <w:rsid w:val="00471699"/>
    <w:rsid w:val="00471F83"/>
    <w:rsid w:val="00476941"/>
    <w:rsid w:val="004814FA"/>
    <w:rsid w:val="00481E75"/>
    <w:rsid w:val="00483841"/>
    <w:rsid w:val="004838CC"/>
    <w:rsid w:val="00487C29"/>
    <w:rsid w:val="00493AF2"/>
    <w:rsid w:val="00494D4B"/>
    <w:rsid w:val="004978FD"/>
    <w:rsid w:val="004A149E"/>
    <w:rsid w:val="004A236F"/>
    <w:rsid w:val="004A2B65"/>
    <w:rsid w:val="004A3764"/>
    <w:rsid w:val="004B06AA"/>
    <w:rsid w:val="004B0EAE"/>
    <w:rsid w:val="004B3814"/>
    <w:rsid w:val="004B6BF5"/>
    <w:rsid w:val="004C4A44"/>
    <w:rsid w:val="004C76D7"/>
    <w:rsid w:val="004C7EB8"/>
    <w:rsid w:val="004D10A5"/>
    <w:rsid w:val="004D3A0C"/>
    <w:rsid w:val="004E0A2E"/>
    <w:rsid w:val="004E1F0B"/>
    <w:rsid w:val="004E47B0"/>
    <w:rsid w:val="004E52C4"/>
    <w:rsid w:val="004F05D9"/>
    <w:rsid w:val="00501E76"/>
    <w:rsid w:val="00501F18"/>
    <w:rsid w:val="00502B03"/>
    <w:rsid w:val="00503E14"/>
    <w:rsid w:val="00504700"/>
    <w:rsid w:val="00506EE0"/>
    <w:rsid w:val="005076FC"/>
    <w:rsid w:val="00510365"/>
    <w:rsid w:val="0051048E"/>
    <w:rsid w:val="00511457"/>
    <w:rsid w:val="0051242C"/>
    <w:rsid w:val="005257EC"/>
    <w:rsid w:val="005305A1"/>
    <w:rsid w:val="00535649"/>
    <w:rsid w:val="00537F8A"/>
    <w:rsid w:val="0054378C"/>
    <w:rsid w:val="00543A19"/>
    <w:rsid w:val="00544144"/>
    <w:rsid w:val="00544901"/>
    <w:rsid w:val="00546C5D"/>
    <w:rsid w:val="005476B8"/>
    <w:rsid w:val="00550B4A"/>
    <w:rsid w:val="00551280"/>
    <w:rsid w:val="005537AB"/>
    <w:rsid w:val="00554BC5"/>
    <w:rsid w:val="00556F9C"/>
    <w:rsid w:val="00560A0B"/>
    <w:rsid w:val="00562259"/>
    <w:rsid w:val="005647EA"/>
    <w:rsid w:val="00564D09"/>
    <w:rsid w:val="005721F9"/>
    <w:rsid w:val="00574E3D"/>
    <w:rsid w:val="00576A6A"/>
    <w:rsid w:val="00580003"/>
    <w:rsid w:val="00584E4E"/>
    <w:rsid w:val="005866CC"/>
    <w:rsid w:val="0059731E"/>
    <w:rsid w:val="005A15C8"/>
    <w:rsid w:val="005A298E"/>
    <w:rsid w:val="005A3B25"/>
    <w:rsid w:val="005A52D0"/>
    <w:rsid w:val="005A66DF"/>
    <w:rsid w:val="005B076D"/>
    <w:rsid w:val="005B4E08"/>
    <w:rsid w:val="005B69F9"/>
    <w:rsid w:val="005C1048"/>
    <w:rsid w:val="005C13F8"/>
    <w:rsid w:val="005C6EFE"/>
    <w:rsid w:val="005E14A4"/>
    <w:rsid w:val="005E14E4"/>
    <w:rsid w:val="005E5C2A"/>
    <w:rsid w:val="005F3ACC"/>
    <w:rsid w:val="005F6E86"/>
    <w:rsid w:val="0060183B"/>
    <w:rsid w:val="00602EB1"/>
    <w:rsid w:val="0060482C"/>
    <w:rsid w:val="00605AE6"/>
    <w:rsid w:val="006076E0"/>
    <w:rsid w:val="0060797E"/>
    <w:rsid w:val="006109BB"/>
    <w:rsid w:val="00612DCE"/>
    <w:rsid w:val="0061391D"/>
    <w:rsid w:val="006143E0"/>
    <w:rsid w:val="006173E5"/>
    <w:rsid w:val="0062387B"/>
    <w:rsid w:val="00626A26"/>
    <w:rsid w:val="0062745E"/>
    <w:rsid w:val="006327B6"/>
    <w:rsid w:val="006427F8"/>
    <w:rsid w:val="00642F3A"/>
    <w:rsid w:val="006529B2"/>
    <w:rsid w:val="00652E63"/>
    <w:rsid w:val="006530A3"/>
    <w:rsid w:val="006530A7"/>
    <w:rsid w:val="006540C3"/>
    <w:rsid w:val="0066207C"/>
    <w:rsid w:val="00667071"/>
    <w:rsid w:val="00677E25"/>
    <w:rsid w:val="00682077"/>
    <w:rsid w:val="00682F3E"/>
    <w:rsid w:val="00683AC5"/>
    <w:rsid w:val="00684189"/>
    <w:rsid w:val="00686763"/>
    <w:rsid w:val="006921E2"/>
    <w:rsid w:val="00692767"/>
    <w:rsid w:val="006965E1"/>
    <w:rsid w:val="006975AA"/>
    <w:rsid w:val="006979D1"/>
    <w:rsid w:val="00697BC7"/>
    <w:rsid w:val="006B0507"/>
    <w:rsid w:val="006B0741"/>
    <w:rsid w:val="006B1359"/>
    <w:rsid w:val="006B412F"/>
    <w:rsid w:val="006B5761"/>
    <w:rsid w:val="006B7491"/>
    <w:rsid w:val="006C08DB"/>
    <w:rsid w:val="006C4853"/>
    <w:rsid w:val="006D43E9"/>
    <w:rsid w:val="006E02DF"/>
    <w:rsid w:val="006E0347"/>
    <w:rsid w:val="006E0AE5"/>
    <w:rsid w:val="006E1F97"/>
    <w:rsid w:val="006E3DBC"/>
    <w:rsid w:val="006E5B3A"/>
    <w:rsid w:val="006E74A2"/>
    <w:rsid w:val="006E78F0"/>
    <w:rsid w:val="006F06F8"/>
    <w:rsid w:val="006F74A3"/>
    <w:rsid w:val="00704743"/>
    <w:rsid w:val="00712C22"/>
    <w:rsid w:val="007146C9"/>
    <w:rsid w:val="007153FD"/>
    <w:rsid w:val="007160BD"/>
    <w:rsid w:val="00717F94"/>
    <w:rsid w:val="00720FD7"/>
    <w:rsid w:val="00725D32"/>
    <w:rsid w:val="00726387"/>
    <w:rsid w:val="00727067"/>
    <w:rsid w:val="00727670"/>
    <w:rsid w:val="00730B40"/>
    <w:rsid w:val="00730ED0"/>
    <w:rsid w:val="007321BA"/>
    <w:rsid w:val="00753015"/>
    <w:rsid w:val="0075639A"/>
    <w:rsid w:val="007565F3"/>
    <w:rsid w:val="00756800"/>
    <w:rsid w:val="00756F6B"/>
    <w:rsid w:val="00764415"/>
    <w:rsid w:val="00764BB9"/>
    <w:rsid w:val="007673FF"/>
    <w:rsid w:val="007702BE"/>
    <w:rsid w:val="0078073B"/>
    <w:rsid w:val="007827B3"/>
    <w:rsid w:val="0078508C"/>
    <w:rsid w:val="0078590F"/>
    <w:rsid w:val="00787300"/>
    <w:rsid w:val="007A02DA"/>
    <w:rsid w:val="007A1718"/>
    <w:rsid w:val="007A26E4"/>
    <w:rsid w:val="007A3272"/>
    <w:rsid w:val="007A4260"/>
    <w:rsid w:val="007A44C4"/>
    <w:rsid w:val="007A72E8"/>
    <w:rsid w:val="007B5CC7"/>
    <w:rsid w:val="007B6F6B"/>
    <w:rsid w:val="007C1B15"/>
    <w:rsid w:val="007C2181"/>
    <w:rsid w:val="007C3888"/>
    <w:rsid w:val="007C6761"/>
    <w:rsid w:val="007C7380"/>
    <w:rsid w:val="007C7EC1"/>
    <w:rsid w:val="007D38E0"/>
    <w:rsid w:val="007E59AA"/>
    <w:rsid w:val="007E5A99"/>
    <w:rsid w:val="007E6328"/>
    <w:rsid w:val="007F3DA7"/>
    <w:rsid w:val="007F42EE"/>
    <w:rsid w:val="007F4787"/>
    <w:rsid w:val="007F618D"/>
    <w:rsid w:val="00800401"/>
    <w:rsid w:val="00804759"/>
    <w:rsid w:val="00806833"/>
    <w:rsid w:val="00807AD0"/>
    <w:rsid w:val="00817A31"/>
    <w:rsid w:val="00817E3F"/>
    <w:rsid w:val="00822ADA"/>
    <w:rsid w:val="0082444A"/>
    <w:rsid w:val="0082695A"/>
    <w:rsid w:val="00831C03"/>
    <w:rsid w:val="00842C48"/>
    <w:rsid w:val="0084661E"/>
    <w:rsid w:val="00847909"/>
    <w:rsid w:val="00847983"/>
    <w:rsid w:val="00850AC0"/>
    <w:rsid w:val="0085475A"/>
    <w:rsid w:val="008618C2"/>
    <w:rsid w:val="00865997"/>
    <w:rsid w:val="00870C8A"/>
    <w:rsid w:val="00872C74"/>
    <w:rsid w:val="00873DF1"/>
    <w:rsid w:val="00876E25"/>
    <w:rsid w:val="00877102"/>
    <w:rsid w:val="008779CD"/>
    <w:rsid w:val="00877C39"/>
    <w:rsid w:val="00880FE6"/>
    <w:rsid w:val="00883F71"/>
    <w:rsid w:val="0088646B"/>
    <w:rsid w:val="008A3159"/>
    <w:rsid w:val="008A4F0A"/>
    <w:rsid w:val="008A5E95"/>
    <w:rsid w:val="008A640C"/>
    <w:rsid w:val="008B18EE"/>
    <w:rsid w:val="008B3C57"/>
    <w:rsid w:val="008B6917"/>
    <w:rsid w:val="008C29D3"/>
    <w:rsid w:val="008C3248"/>
    <w:rsid w:val="008C387B"/>
    <w:rsid w:val="008C42D0"/>
    <w:rsid w:val="008D04F1"/>
    <w:rsid w:val="008D2A21"/>
    <w:rsid w:val="008D5881"/>
    <w:rsid w:val="008E0AB2"/>
    <w:rsid w:val="008E133D"/>
    <w:rsid w:val="008E17BB"/>
    <w:rsid w:val="0090191C"/>
    <w:rsid w:val="00903206"/>
    <w:rsid w:val="00905994"/>
    <w:rsid w:val="00911DD6"/>
    <w:rsid w:val="00912D61"/>
    <w:rsid w:val="00913720"/>
    <w:rsid w:val="009167DF"/>
    <w:rsid w:val="00917113"/>
    <w:rsid w:val="00920EF4"/>
    <w:rsid w:val="00922843"/>
    <w:rsid w:val="00925112"/>
    <w:rsid w:val="009274D6"/>
    <w:rsid w:val="009326C9"/>
    <w:rsid w:val="00933528"/>
    <w:rsid w:val="009349F3"/>
    <w:rsid w:val="00934E77"/>
    <w:rsid w:val="00935171"/>
    <w:rsid w:val="00942252"/>
    <w:rsid w:val="00942622"/>
    <w:rsid w:val="00942D9C"/>
    <w:rsid w:val="00942DB3"/>
    <w:rsid w:val="00946353"/>
    <w:rsid w:val="0095379E"/>
    <w:rsid w:val="00956B41"/>
    <w:rsid w:val="009576ED"/>
    <w:rsid w:val="0096498A"/>
    <w:rsid w:val="0096696E"/>
    <w:rsid w:val="00971202"/>
    <w:rsid w:val="0097256B"/>
    <w:rsid w:val="00977329"/>
    <w:rsid w:val="009810AA"/>
    <w:rsid w:val="00981564"/>
    <w:rsid w:val="00981DE2"/>
    <w:rsid w:val="00982DC3"/>
    <w:rsid w:val="00990207"/>
    <w:rsid w:val="00991DD1"/>
    <w:rsid w:val="009923E3"/>
    <w:rsid w:val="009923EF"/>
    <w:rsid w:val="00993499"/>
    <w:rsid w:val="009A318F"/>
    <w:rsid w:val="009A4655"/>
    <w:rsid w:val="009A5AF0"/>
    <w:rsid w:val="009B2312"/>
    <w:rsid w:val="009B338E"/>
    <w:rsid w:val="009B4409"/>
    <w:rsid w:val="009B4572"/>
    <w:rsid w:val="009D055A"/>
    <w:rsid w:val="009D099F"/>
    <w:rsid w:val="009D54F3"/>
    <w:rsid w:val="009E0998"/>
    <w:rsid w:val="009E1E1F"/>
    <w:rsid w:val="009E3AE8"/>
    <w:rsid w:val="009E5798"/>
    <w:rsid w:val="009E6B61"/>
    <w:rsid w:val="009F4CF6"/>
    <w:rsid w:val="009F6251"/>
    <w:rsid w:val="00A00C16"/>
    <w:rsid w:val="00A012C4"/>
    <w:rsid w:val="00A050AD"/>
    <w:rsid w:val="00A0708F"/>
    <w:rsid w:val="00A11F9D"/>
    <w:rsid w:val="00A226E1"/>
    <w:rsid w:val="00A24F3B"/>
    <w:rsid w:val="00A2724F"/>
    <w:rsid w:val="00A30576"/>
    <w:rsid w:val="00A322E8"/>
    <w:rsid w:val="00A32FA8"/>
    <w:rsid w:val="00A400EC"/>
    <w:rsid w:val="00A40BFA"/>
    <w:rsid w:val="00A40CE1"/>
    <w:rsid w:val="00A41819"/>
    <w:rsid w:val="00A42230"/>
    <w:rsid w:val="00A42B72"/>
    <w:rsid w:val="00A44371"/>
    <w:rsid w:val="00A44927"/>
    <w:rsid w:val="00A45217"/>
    <w:rsid w:val="00A51106"/>
    <w:rsid w:val="00A5467E"/>
    <w:rsid w:val="00A62AD4"/>
    <w:rsid w:val="00A63A6C"/>
    <w:rsid w:val="00A64EF8"/>
    <w:rsid w:val="00A66DFB"/>
    <w:rsid w:val="00A709DE"/>
    <w:rsid w:val="00A71BE1"/>
    <w:rsid w:val="00A826D0"/>
    <w:rsid w:val="00A850A7"/>
    <w:rsid w:val="00A852E7"/>
    <w:rsid w:val="00A90103"/>
    <w:rsid w:val="00A904BC"/>
    <w:rsid w:val="00A95487"/>
    <w:rsid w:val="00A95817"/>
    <w:rsid w:val="00A965E5"/>
    <w:rsid w:val="00AA1B33"/>
    <w:rsid w:val="00AA20AC"/>
    <w:rsid w:val="00AA34A6"/>
    <w:rsid w:val="00AA3BA9"/>
    <w:rsid w:val="00AA46EB"/>
    <w:rsid w:val="00AA49AB"/>
    <w:rsid w:val="00AA697C"/>
    <w:rsid w:val="00AB0904"/>
    <w:rsid w:val="00AB1224"/>
    <w:rsid w:val="00AB2138"/>
    <w:rsid w:val="00AB2635"/>
    <w:rsid w:val="00AB2C6D"/>
    <w:rsid w:val="00AB6B20"/>
    <w:rsid w:val="00AB6C9A"/>
    <w:rsid w:val="00AB7706"/>
    <w:rsid w:val="00AC0255"/>
    <w:rsid w:val="00AC6546"/>
    <w:rsid w:val="00AD106F"/>
    <w:rsid w:val="00AD23D6"/>
    <w:rsid w:val="00AD5874"/>
    <w:rsid w:val="00AD5C19"/>
    <w:rsid w:val="00AD7E63"/>
    <w:rsid w:val="00AE56D7"/>
    <w:rsid w:val="00AF4507"/>
    <w:rsid w:val="00AF5BB5"/>
    <w:rsid w:val="00AF7082"/>
    <w:rsid w:val="00AF74E7"/>
    <w:rsid w:val="00B03135"/>
    <w:rsid w:val="00B051D6"/>
    <w:rsid w:val="00B10E5E"/>
    <w:rsid w:val="00B13FB4"/>
    <w:rsid w:val="00B143DA"/>
    <w:rsid w:val="00B16799"/>
    <w:rsid w:val="00B169C9"/>
    <w:rsid w:val="00B202D5"/>
    <w:rsid w:val="00B21F18"/>
    <w:rsid w:val="00B25453"/>
    <w:rsid w:val="00B25DD6"/>
    <w:rsid w:val="00B379AA"/>
    <w:rsid w:val="00B4005B"/>
    <w:rsid w:val="00B401F6"/>
    <w:rsid w:val="00B403ED"/>
    <w:rsid w:val="00B42411"/>
    <w:rsid w:val="00B424F6"/>
    <w:rsid w:val="00B426E2"/>
    <w:rsid w:val="00B438DE"/>
    <w:rsid w:val="00B45EE3"/>
    <w:rsid w:val="00B45FD9"/>
    <w:rsid w:val="00B51A78"/>
    <w:rsid w:val="00B5265A"/>
    <w:rsid w:val="00B52673"/>
    <w:rsid w:val="00B54E44"/>
    <w:rsid w:val="00B56BBB"/>
    <w:rsid w:val="00B7669C"/>
    <w:rsid w:val="00B81FAB"/>
    <w:rsid w:val="00B84702"/>
    <w:rsid w:val="00B911E3"/>
    <w:rsid w:val="00B915B6"/>
    <w:rsid w:val="00B9786B"/>
    <w:rsid w:val="00BA4583"/>
    <w:rsid w:val="00BA6D82"/>
    <w:rsid w:val="00BB00F6"/>
    <w:rsid w:val="00BB56B5"/>
    <w:rsid w:val="00BB7FC2"/>
    <w:rsid w:val="00BC0517"/>
    <w:rsid w:val="00BC2A5F"/>
    <w:rsid w:val="00BC64B8"/>
    <w:rsid w:val="00BD426C"/>
    <w:rsid w:val="00BD66D7"/>
    <w:rsid w:val="00BE2648"/>
    <w:rsid w:val="00BE27B3"/>
    <w:rsid w:val="00BE3981"/>
    <w:rsid w:val="00BE528B"/>
    <w:rsid w:val="00BF0E63"/>
    <w:rsid w:val="00BF3FB5"/>
    <w:rsid w:val="00BF7694"/>
    <w:rsid w:val="00C017D0"/>
    <w:rsid w:val="00C03474"/>
    <w:rsid w:val="00C1069C"/>
    <w:rsid w:val="00C10C27"/>
    <w:rsid w:val="00C12E8F"/>
    <w:rsid w:val="00C15313"/>
    <w:rsid w:val="00C15364"/>
    <w:rsid w:val="00C27182"/>
    <w:rsid w:val="00C27840"/>
    <w:rsid w:val="00C31F96"/>
    <w:rsid w:val="00C333EC"/>
    <w:rsid w:val="00C35610"/>
    <w:rsid w:val="00C4108E"/>
    <w:rsid w:val="00C46651"/>
    <w:rsid w:val="00C55779"/>
    <w:rsid w:val="00C56CE3"/>
    <w:rsid w:val="00C61C61"/>
    <w:rsid w:val="00C63E2D"/>
    <w:rsid w:val="00C64D80"/>
    <w:rsid w:val="00C705BB"/>
    <w:rsid w:val="00C708DE"/>
    <w:rsid w:val="00C71541"/>
    <w:rsid w:val="00C717CF"/>
    <w:rsid w:val="00C74565"/>
    <w:rsid w:val="00C80A92"/>
    <w:rsid w:val="00C80B5E"/>
    <w:rsid w:val="00C827B8"/>
    <w:rsid w:val="00C83DE4"/>
    <w:rsid w:val="00C86B4E"/>
    <w:rsid w:val="00C86BB1"/>
    <w:rsid w:val="00C9031B"/>
    <w:rsid w:val="00C910D0"/>
    <w:rsid w:val="00C934C7"/>
    <w:rsid w:val="00C95193"/>
    <w:rsid w:val="00C95982"/>
    <w:rsid w:val="00CA3F79"/>
    <w:rsid w:val="00CA6DE6"/>
    <w:rsid w:val="00CB18B1"/>
    <w:rsid w:val="00CB34A3"/>
    <w:rsid w:val="00CB39DF"/>
    <w:rsid w:val="00CB4D93"/>
    <w:rsid w:val="00CB5C81"/>
    <w:rsid w:val="00CB616F"/>
    <w:rsid w:val="00CB6DFC"/>
    <w:rsid w:val="00CC318F"/>
    <w:rsid w:val="00CD0B99"/>
    <w:rsid w:val="00CD1B0A"/>
    <w:rsid w:val="00CD5B35"/>
    <w:rsid w:val="00CD5F83"/>
    <w:rsid w:val="00CE2F3E"/>
    <w:rsid w:val="00CE3215"/>
    <w:rsid w:val="00CE453B"/>
    <w:rsid w:val="00CE5E0D"/>
    <w:rsid w:val="00CF308A"/>
    <w:rsid w:val="00CF4D51"/>
    <w:rsid w:val="00CF5664"/>
    <w:rsid w:val="00D02FE2"/>
    <w:rsid w:val="00D05446"/>
    <w:rsid w:val="00D06481"/>
    <w:rsid w:val="00D14959"/>
    <w:rsid w:val="00D1570E"/>
    <w:rsid w:val="00D1665A"/>
    <w:rsid w:val="00D172D1"/>
    <w:rsid w:val="00D20072"/>
    <w:rsid w:val="00D2075B"/>
    <w:rsid w:val="00D24F9B"/>
    <w:rsid w:val="00D25DCD"/>
    <w:rsid w:val="00D26996"/>
    <w:rsid w:val="00D32756"/>
    <w:rsid w:val="00D35BD1"/>
    <w:rsid w:val="00D40C73"/>
    <w:rsid w:val="00D417DB"/>
    <w:rsid w:val="00D44197"/>
    <w:rsid w:val="00D46239"/>
    <w:rsid w:val="00D46B6A"/>
    <w:rsid w:val="00D46DF5"/>
    <w:rsid w:val="00D510A1"/>
    <w:rsid w:val="00D5179C"/>
    <w:rsid w:val="00D53EE4"/>
    <w:rsid w:val="00D552E1"/>
    <w:rsid w:val="00D633C8"/>
    <w:rsid w:val="00D72B80"/>
    <w:rsid w:val="00D73021"/>
    <w:rsid w:val="00D74C84"/>
    <w:rsid w:val="00D74ED2"/>
    <w:rsid w:val="00D84F8A"/>
    <w:rsid w:val="00D91925"/>
    <w:rsid w:val="00D94DA2"/>
    <w:rsid w:val="00D95776"/>
    <w:rsid w:val="00D958DD"/>
    <w:rsid w:val="00DA0340"/>
    <w:rsid w:val="00DA2FB1"/>
    <w:rsid w:val="00DA4E0C"/>
    <w:rsid w:val="00DA783B"/>
    <w:rsid w:val="00DB23B3"/>
    <w:rsid w:val="00DB4B2F"/>
    <w:rsid w:val="00DB6CCE"/>
    <w:rsid w:val="00DC02F6"/>
    <w:rsid w:val="00DC7BB1"/>
    <w:rsid w:val="00DC7C32"/>
    <w:rsid w:val="00DD0366"/>
    <w:rsid w:val="00DD0B2A"/>
    <w:rsid w:val="00DD692A"/>
    <w:rsid w:val="00DD73C1"/>
    <w:rsid w:val="00DE1CFA"/>
    <w:rsid w:val="00DE3791"/>
    <w:rsid w:val="00DF07EE"/>
    <w:rsid w:val="00DF175C"/>
    <w:rsid w:val="00DF2579"/>
    <w:rsid w:val="00DF3D7A"/>
    <w:rsid w:val="00DF50BD"/>
    <w:rsid w:val="00DF74F3"/>
    <w:rsid w:val="00E012F4"/>
    <w:rsid w:val="00E0428A"/>
    <w:rsid w:val="00E066EB"/>
    <w:rsid w:val="00E06B46"/>
    <w:rsid w:val="00E07985"/>
    <w:rsid w:val="00E11C7C"/>
    <w:rsid w:val="00E23CC0"/>
    <w:rsid w:val="00E24FC6"/>
    <w:rsid w:val="00E26D59"/>
    <w:rsid w:val="00E30CE6"/>
    <w:rsid w:val="00E312F5"/>
    <w:rsid w:val="00E36EDA"/>
    <w:rsid w:val="00E40BAB"/>
    <w:rsid w:val="00E424F5"/>
    <w:rsid w:val="00E469AA"/>
    <w:rsid w:val="00E50A1D"/>
    <w:rsid w:val="00E51F3E"/>
    <w:rsid w:val="00E56801"/>
    <w:rsid w:val="00E57092"/>
    <w:rsid w:val="00E57F9A"/>
    <w:rsid w:val="00E67280"/>
    <w:rsid w:val="00E73154"/>
    <w:rsid w:val="00E74CA3"/>
    <w:rsid w:val="00E767DC"/>
    <w:rsid w:val="00E7691B"/>
    <w:rsid w:val="00E805E9"/>
    <w:rsid w:val="00E82E81"/>
    <w:rsid w:val="00E9051C"/>
    <w:rsid w:val="00E94E0C"/>
    <w:rsid w:val="00E97051"/>
    <w:rsid w:val="00E97149"/>
    <w:rsid w:val="00EA3B46"/>
    <w:rsid w:val="00EA5790"/>
    <w:rsid w:val="00EB0143"/>
    <w:rsid w:val="00EB234A"/>
    <w:rsid w:val="00EB2883"/>
    <w:rsid w:val="00EB28F7"/>
    <w:rsid w:val="00EB3040"/>
    <w:rsid w:val="00EB34A6"/>
    <w:rsid w:val="00EB5AA1"/>
    <w:rsid w:val="00EC39CE"/>
    <w:rsid w:val="00EC3CE4"/>
    <w:rsid w:val="00EC791B"/>
    <w:rsid w:val="00ED046C"/>
    <w:rsid w:val="00ED132E"/>
    <w:rsid w:val="00ED2F5F"/>
    <w:rsid w:val="00ED3F26"/>
    <w:rsid w:val="00ED6BD2"/>
    <w:rsid w:val="00ED73B3"/>
    <w:rsid w:val="00ED76F6"/>
    <w:rsid w:val="00EE3E2E"/>
    <w:rsid w:val="00EE6B1F"/>
    <w:rsid w:val="00EF1235"/>
    <w:rsid w:val="00EF36AA"/>
    <w:rsid w:val="00EF7120"/>
    <w:rsid w:val="00EF7901"/>
    <w:rsid w:val="00F020C2"/>
    <w:rsid w:val="00F0228B"/>
    <w:rsid w:val="00F034D6"/>
    <w:rsid w:val="00F073D2"/>
    <w:rsid w:val="00F1212E"/>
    <w:rsid w:val="00F13E40"/>
    <w:rsid w:val="00F155A3"/>
    <w:rsid w:val="00F16A45"/>
    <w:rsid w:val="00F20C62"/>
    <w:rsid w:val="00F258B6"/>
    <w:rsid w:val="00F4372E"/>
    <w:rsid w:val="00F440EF"/>
    <w:rsid w:val="00F463C6"/>
    <w:rsid w:val="00F47204"/>
    <w:rsid w:val="00F50EFB"/>
    <w:rsid w:val="00F51EDE"/>
    <w:rsid w:val="00F5323B"/>
    <w:rsid w:val="00F54056"/>
    <w:rsid w:val="00F65FA3"/>
    <w:rsid w:val="00F664CF"/>
    <w:rsid w:val="00F70A96"/>
    <w:rsid w:val="00F716ED"/>
    <w:rsid w:val="00F7175D"/>
    <w:rsid w:val="00F73640"/>
    <w:rsid w:val="00F84B7A"/>
    <w:rsid w:val="00F86047"/>
    <w:rsid w:val="00F87987"/>
    <w:rsid w:val="00F908F5"/>
    <w:rsid w:val="00F92573"/>
    <w:rsid w:val="00F9344F"/>
    <w:rsid w:val="00F94686"/>
    <w:rsid w:val="00F97AB5"/>
    <w:rsid w:val="00FA0EC6"/>
    <w:rsid w:val="00FA3A94"/>
    <w:rsid w:val="00FA3F65"/>
    <w:rsid w:val="00FA5E78"/>
    <w:rsid w:val="00FB1F27"/>
    <w:rsid w:val="00FB42D5"/>
    <w:rsid w:val="00FB733B"/>
    <w:rsid w:val="00FC6422"/>
    <w:rsid w:val="00FC74B7"/>
    <w:rsid w:val="00FD178F"/>
    <w:rsid w:val="00FD20C9"/>
    <w:rsid w:val="00FD2CA9"/>
    <w:rsid w:val="00FD3BF4"/>
    <w:rsid w:val="00FD4529"/>
    <w:rsid w:val="00FD4594"/>
    <w:rsid w:val="00FE07D4"/>
    <w:rsid w:val="00FE07EA"/>
    <w:rsid w:val="00FF18F7"/>
    <w:rsid w:val="00FF1E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86045-020D-4810-B5AB-76600BF5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2ADA"/>
  </w:style>
  <w:style w:type="paragraph" w:styleId="Titolo1">
    <w:name w:val="heading 1"/>
    <w:basedOn w:val="Normale"/>
    <w:next w:val="Normale"/>
    <w:link w:val="Titolo1Carattere"/>
    <w:uiPriority w:val="9"/>
    <w:qFormat/>
    <w:rsid w:val="00F155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F155A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14A4"/>
    <w:pPr>
      <w:ind w:left="720"/>
      <w:contextualSpacing/>
    </w:pPr>
  </w:style>
  <w:style w:type="paragraph" w:styleId="Intestazione">
    <w:name w:val="header"/>
    <w:basedOn w:val="Normale"/>
    <w:link w:val="IntestazioneCarattere"/>
    <w:uiPriority w:val="99"/>
    <w:unhideWhenUsed/>
    <w:rsid w:val="004F05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5D9"/>
  </w:style>
  <w:style w:type="paragraph" w:styleId="Pidipagina">
    <w:name w:val="footer"/>
    <w:basedOn w:val="Normale"/>
    <w:link w:val="PidipaginaCarattere"/>
    <w:uiPriority w:val="99"/>
    <w:unhideWhenUsed/>
    <w:rsid w:val="004F05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5D9"/>
  </w:style>
  <w:style w:type="paragraph" w:styleId="Testofumetto">
    <w:name w:val="Balloon Text"/>
    <w:basedOn w:val="Normale"/>
    <w:link w:val="TestofumettoCarattere"/>
    <w:uiPriority w:val="99"/>
    <w:semiHidden/>
    <w:unhideWhenUsed/>
    <w:rsid w:val="00F925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2573"/>
    <w:rPr>
      <w:rFonts w:ascii="Segoe UI" w:hAnsi="Segoe UI" w:cs="Segoe UI"/>
      <w:sz w:val="18"/>
      <w:szCs w:val="18"/>
    </w:rPr>
  </w:style>
  <w:style w:type="paragraph" w:styleId="NormaleWeb">
    <w:name w:val="Normal (Web)"/>
    <w:basedOn w:val="Normale"/>
    <w:uiPriority w:val="99"/>
    <w:semiHidden/>
    <w:unhideWhenUsed/>
    <w:rsid w:val="004416A0"/>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Titolo">
    <w:name w:val="Title"/>
    <w:basedOn w:val="Normale"/>
    <w:next w:val="Normale"/>
    <w:link w:val="TitoloCarattere"/>
    <w:uiPriority w:val="10"/>
    <w:qFormat/>
    <w:rsid w:val="00556F9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it-IT"/>
    </w:rPr>
  </w:style>
  <w:style w:type="character" w:customStyle="1" w:styleId="TitoloCarattere">
    <w:name w:val="Titolo Carattere"/>
    <w:basedOn w:val="Carpredefinitoparagrafo"/>
    <w:link w:val="Titolo"/>
    <w:uiPriority w:val="10"/>
    <w:rsid w:val="00556F9C"/>
    <w:rPr>
      <w:rFonts w:asciiTheme="majorHAnsi" w:eastAsiaTheme="majorEastAsia" w:hAnsiTheme="majorHAnsi" w:cstheme="majorBidi"/>
      <w:color w:val="404040" w:themeColor="text1" w:themeTint="BF"/>
      <w:spacing w:val="-10"/>
      <w:kern w:val="28"/>
      <w:sz w:val="56"/>
      <w:szCs w:val="56"/>
      <w:lang w:eastAsia="it-IT"/>
    </w:rPr>
  </w:style>
  <w:style w:type="paragraph" w:styleId="Sottotitolo">
    <w:name w:val="Subtitle"/>
    <w:basedOn w:val="Normale"/>
    <w:next w:val="Normale"/>
    <w:link w:val="SottotitoloCarattere"/>
    <w:uiPriority w:val="11"/>
    <w:qFormat/>
    <w:rsid w:val="00556F9C"/>
    <w:pPr>
      <w:numPr>
        <w:ilvl w:val="1"/>
      </w:numPr>
    </w:pPr>
    <w:rPr>
      <w:rFonts w:eastAsiaTheme="minorEastAsia" w:cs="Times New Roman"/>
      <w:color w:val="5A5A5A" w:themeColor="text1" w:themeTint="A5"/>
      <w:spacing w:val="15"/>
      <w:lang w:eastAsia="it-IT"/>
    </w:rPr>
  </w:style>
  <w:style w:type="character" w:customStyle="1" w:styleId="SottotitoloCarattere">
    <w:name w:val="Sottotitolo Carattere"/>
    <w:basedOn w:val="Carpredefinitoparagrafo"/>
    <w:link w:val="Sottotitolo"/>
    <w:uiPriority w:val="11"/>
    <w:rsid w:val="00556F9C"/>
    <w:rPr>
      <w:rFonts w:eastAsiaTheme="minorEastAsia" w:cs="Times New Roman"/>
      <w:color w:val="5A5A5A" w:themeColor="text1" w:themeTint="A5"/>
      <w:spacing w:val="15"/>
      <w:lang w:eastAsia="it-IT"/>
    </w:rPr>
  </w:style>
  <w:style w:type="table" w:styleId="Grigliatabella">
    <w:name w:val="Table Grid"/>
    <w:basedOn w:val="Tabellanormale"/>
    <w:uiPriority w:val="59"/>
    <w:rsid w:val="007F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2-colore51">
    <w:name w:val="Tabella griglia 2 - colore 51"/>
    <w:basedOn w:val="Tabellanormale"/>
    <w:uiPriority w:val="47"/>
    <w:rsid w:val="00E5709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griglia2-colore11">
    <w:name w:val="Tabella griglia 2 - colore 11"/>
    <w:basedOn w:val="Tabellanormale"/>
    <w:uiPriority w:val="47"/>
    <w:rsid w:val="00E5709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4-colore11">
    <w:name w:val="Tabella griglia 4 - colore 11"/>
    <w:basedOn w:val="Tabellanormale"/>
    <w:uiPriority w:val="49"/>
    <w:rsid w:val="00AB09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umeropagina">
    <w:name w:val="page number"/>
    <w:basedOn w:val="Carpredefinitoparagrafo"/>
    <w:uiPriority w:val="99"/>
    <w:unhideWhenUsed/>
    <w:rsid w:val="00327828"/>
  </w:style>
  <w:style w:type="table" w:styleId="Elencochiaro-Colore6">
    <w:name w:val="Light List Accent 6"/>
    <w:basedOn w:val="Tabellanormale"/>
    <w:uiPriority w:val="61"/>
    <w:rsid w:val="004A236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gliachiara-Colore6">
    <w:name w:val="Light Grid Accent 6"/>
    <w:basedOn w:val="Tabellanormale"/>
    <w:uiPriority w:val="62"/>
    <w:rsid w:val="004A236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fondochiaro-Colore6">
    <w:name w:val="Light Shading Accent 6"/>
    <w:basedOn w:val="Tabellanormale"/>
    <w:uiPriority w:val="60"/>
    <w:rsid w:val="00402E4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fondomedio1-Colore6">
    <w:name w:val="Medium Shading 1 Accent 6"/>
    <w:basedOn w:val="Tabellanormale"/>
    <w:uiPriority w:val="63"/>
    <w:rsid w:val="00A62AD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Colore6">
    <w:name w:val="Medium Shading 2 Accent 6"/>
    <w:basedOn w:val="Tabellanormale"/>
    <w:uiPriority w:val="64"/>
    <w:rsid w:val="00A62A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2-Colore6">
    <w:name w:val="Medium List 2 Accent 6"/>
    <w:basedOn w:val="Tabellanormale"/>
    <w:uiPriority w:val="66"/>
    <w:rsid w:val="00A62A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1-Colore6">
    <w:name w:val="Medium Grid 1 Accent 6"/>
    <w:basedOn w:val="Tabellanormale"/>
    <w:uiPriority w:val="67"/>
    <w:rsid w:val="00A62AD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3-Colore6">
    <w:name w:val="Medium Grid 3 Accent 6"/>
    <w:basedOn w:val="Tabellanormale"/>
    <w:uiPriority w:val="69"/>
    <w:rsid w:val="00A62A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Elencoacolori-Colore6">
    <w:name w:val="Colorful List Accent 6"/>
    <w:basedOn w:val="Tabellanormale"/>
    <w:uiPriority w:val="72"/>
    <w:rsid w:val="00A62AD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customStyle="1" w:styleId="Titolo1Carattere">
    <w:name w:val="Titolo 1 Carattere"/>
    <w:basedOn w:val="Carpredefinitoparagrafo"/>
    <w:link w:val="Titolo1"/>
    <w:uiPriority w:val="9"/>
    <w:rsid w:val="00F155A3"/>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F155A3"/>
    <w:rPr>
      <w:rFonts w:asciiTheme="majorHAnsi" w:eastAsiaTheme="majorEastAsia" w:hAnsiTheme="majorHAnsi" w:cstheme="majorBidi"/>
      <w:b/>
      <w:bCs/>
      <w:color w:val="5B9BD5" w:themeColor="accent1"/>
      <w:sz w:val="26"/>
      <w:szCs w:val="26"/>
    </w:rPr>
  </w:style>
  <w:style w:type="paragraph" w:styleId="Titolosommario">
    <w:name w:val="TOC Heading"/>
    <w:basedOn w:val="Titolo1"/>
    <w:next w:val="Normale"/>
    <w:uiPriority w:val="39"/>
    <w:semiHidden/>
    <w:unhideWhenUsed/>
    <w:qFormat/>
    <w:rsid w:val="00216449"/>
    <w:pPr>
      <w:spacing w:line="276" w:lineRule="auto"/>
      <w:outlineLvl w:val="9"/>
    </w:pPr>
    <w:rPr>
      <w:lang w:eastAsia="it-IT"/>
    </w:rPr>
  </w:style>
  <w:style w:type="paragraph" w:styleId="Sommario1">
    <w:name w:val="toc 1"/>
    <w:basedOn w:val="Normale"/>
    <w:next w:val="Normale"/>
    <w:autoRedefine/>
    <w:uiPriority w:val="39"/>
    <w:unhideWhenUsed/>
    <w:rsid w:val="007702BE"/>
    <w:pPr>
      <w:tabs>
        <w:tab w:val="left" w:pos="440"/>
        <w:tab w:val="right" w:leader="dot" w:pos="8494"/>
      </w:tabs>
      <w:spacing w:before="120" w:after="120" w:line="240" w:lineRule="auto"/>
    </w:pPr>
    <w:rPr>
      <w:b/>
      <w:smallCaps/>
      <w:noProof/>
      <w:sz w:val="24"/>
      <w:szCs w:val="24"/>
    </w:rPr>
  </w:style>
  <w:style w:type="paragraph" w:styleId="Sommario2">
    <w:name w:val="toc 2"/>
    <w:basedOn w:val="Normale"/>
    <w:next w:val="Normale"/>
    <w:autoRedefine/>
    <w:uiPriority w:val="39"/>
    <w:unhideWhenUsed/>
    <w:rsid w:val="00216449"/>
    <w:pPr>
      <w:spacing w:after="100"/>
      <w:ind w:left="220"/>
    </w:pPr>
  </w:style>
  <w:style w:type="character" w:styleId="Collegamentoipertestuale">
    <w:name w:val="Hyperlink"/>
    <w:basedOn w:val="Carpredefinitoparagrafo"/>
    <w:uiPriority w:val="99"/>
    <w:unhideWhenUsed/>
    <w:rsid w:val="00216449"/>
    <w:rPr>
      <w:color w:val="0563C1" w:themeColor="hyperlink"/>
      <w:u w:val="single"/>
    </w:rPr>
  </w:style>
  <w:style w:type="paragraph" w:styleId="Nessunaspaziatura">
    <w:name w:val="No Spacing"/>
    <w:uiPriority w:val="1"/>
    <w:qFormat/>
    <w:rsid w:val="003A2821"/>
    <w:pPr>
      <w:spacing w:after="0" w:line="240" w:lineRule="auto"/>
    </w:pPr>
  </w:style>
  <w:style w:type="character" w:styleId="Enfasiintensa">
    <w:name w:val="Intense Emphasis"/>
    <w:basedOn w:val="Carpredefinitoparagrafo"/>
    <w:uiPriority w:val="21"/>
    <w:qFormat/>
    <w:rsid w:val="00097AFE"/>
    <w:rPr>
      <w:b/>
      <w:bCs/>
      <w:i/>
      <w:iCs/>
      <w:color w:val="5B9BD5" w:themeColor="accent1"/>
    </w:rPr>
  </w:style>
  <w:style w:type="paragraph" w:customStyle="1" w:styleId="Titolotabella">
    <w:name w:val="Titolo tabella"/>
    <w:basedOn w:val="Normale"/>
    <w:qFormat/>
    <w:rsid w:val="00822ADA"/>
    <w:pPr>
      <w:spacing w:before="320" w:line="240" w:lineRule="auto"/>
      <w:jc w:val="both"/>
    </w:pPr>
    <w:rPr>
      <w:b/>
      <w:sz w:val="21"/>
    </w:rPr>
  </w:style>
  <w:style w:type="paragraph" w:customStyle="1" w:styleId="StileFonte">
    <w:name w:val="Stile Fonte"/>
    <w:basedOn w:val="Titolotabella"/>
    <w:qFormat/>
    <w:rsid w:val="00822ADA"/>
    <w:pPr>
      <w:spacing w:before="160" w:after="320"/>
    </w:pPr>
    <w:rPr>
      <w:b w:val="0"/>
      <w:i/>
      <w:sz w:val="18"/>
      <w:lang w:eastAsia="it-IT"/>
    </w:rPr>
  </w:style>
  <w:style w:type="table" w:styleId="Sfondomedio1-Colore1">
    <w:name w:val="Medium Shading 1 Accent 1"/>
    <w:basedOn w:val="Tabellanormale"/>
    <w:uiPriority w:val="63"/>
    <w:rsid w:val="0005700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Elencochiaro-Colore1">
    <w:name w:val="Light List Accent 1"/>
    <w:basedOn w:val="Tabellanormale"/>
    <w:uiPriority w:val="61"/>
    <w:rsid w:val="00AB6C9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Colore5">
    <w:name w:val="Light Shading Accent 5"/>
    <w:basedOn w:val="Tabellanormale"/>
    <w:uiPriority w:val="60"/>
    <w:rsid w:val="00AB6C9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0133">
      <w:bodyDiv w:val="1"/>
      <w:marLeft w:val="0"/>
      <w:marRight w:val="0"/>
      <w:marTop w:val="0"/>
      <w:marBottom w:val="0"/>
      <w:divBdr>
        <w:top w:val="none" w:sz="0" w:space="0" w:color="auto"/>
        <w:left w:val="none" w:sz="0" w:space="0" w:color="auto"/>
        <w:bottom w:val="none" w:sz="0" w:space="0" w:color="auto"/>
        <w:right w:val="none" w:sz="0" w:space="0" w:color="auto"/>
      </w:divBdr>
    </w:div>
    <w:div w:id="210264167">
      <w:bodyDiv w:val="1"/>
      <w:marLeft w:val="0"/>
      <w:marRight w:val="0"/>
      <w:marTop w:val="0"/>
      <w:marBottom w:val="0"/>
      <w:divBdr>
        <w:top w:val="none" w:sz="0" w:space="0" w:color="auto"/>
        <w:left w:val="none" w:sz="0" w:space="0" w:color="auto"/>
        <w:bottom w:val="none" w:sz="0" w:space="0" w:color="auto"/>
        <w:right w:val="none" w:sz="0" w:space="0" w:color="auto"/>
      </w:divBdr>
    </w:div>
    <w:div w:id="364914020">
      <w:bodyDiv w:val="1"/>
      <w:marLeft w:val="0"/>
      <w:marRight w:val="0"/>
      <w:marTop w:val="0"/>
      <w:marBottom w:val="0"/>
      <w:divBdr>
        <w:top w:val="none" w:sz="0" w:space="0" w:color="auto"/>
        <w:left w:val="none" w:sz="0" w:space="0" w:color="auto"/>
        <w:bottom w:val="none" w:sz="0" w:space="0" w:color="auto"/>
        <w:right w:val="none" w:sz="0" w:space="0" w:color="auto"/>
      </w:divBdr>
    </w:div>
    <w:div w:id="560756616">
      <w:bodyDiv w:val="1"/>
      <w:marLeft w:val="0"/>
      <w:marRight w:val="0"/>
      <w:marTop w:val="0"/>
      <w:marBottom w:val="0"/>
      <w:divBdr>
        <w:top w:val="none" w:sz="0" w:space="0" w:color="auto"/>
        <w:left w:val="none" w:sz="0" w:space="0" w:color="auto"/>
        <w:bottom w:val="none" w:sz="0" w:space="0" w:color="auto"/>
        <w:right w:val="none" w:sz="0" w:space="0" w:color="auto"/>
      </w:divBdr>
    </w:div>
    <w:div w:id="974673735">
      <w:bodyDiv w:val="1"/>
      <w:marLeft w:val="0"/>
      <w:marRight w:val="0"/>
      <w:marTop w:val="0"/>
      <w:marBottom w:val="0"/>
      <w:divBdr>
        <w:top w:val="none" w:sz="0" w:space="0" w:color="auto"/>
        <w:left w:val="none" w:sz="0" w:space="0" w:color="auto"/>
        <w:bottom w:val="none" w:sz="0" w:space="0" w:color="auto"/>
        <w:right w:val="none" w:sz="0" w:space="0" w:color="auto"/>
      </w:divBdr>
    </w:div>
    <w:div w:id="1304695847">
      <w:bodyDiv w:val="1"/>
      <w:marLeft w:val="0"/>
      <w:marRight w:val="0"/>
      <w:marTop w:val="0"/>
      <w:marBottom w:val="0"/>
      <w:divBdr>
        <w:top w:val="none" w:sz="0" w:space="0" w:color="auto"/>
        <w:left w:val="none" w:sz="0" w:space="0" w:color="auto"/>
        <w:bottom w:val="none" w:sz="0" w:space="0" w:color="auto"/>
        <w:right w:val="none" w:sz="0" w:space="0" w:color="auto"/>
      </w:divBdr>
    </w:div>
    <w:div w:id="1458178024">
      <w:bodyDiv w:val="1"/>
      <w:marLeft w:val="0"/>
      <w:marRight w:val="0"/>
      <w:marTop w:val="0"/>
      <w:marBottom w:val="0"/>
      <w:divBdr>
        <w:top w:val="none" w:sz="0" w:space="0" w:color="auto"/>
        <w:left w:val="none" w:sz="0" w:space="0" w:color="auto"/>
        <w:bottom w:val="none" w:sz="0" w:space="0" w:color="auto"/>
        <w:right w:val="none" w:sz="0" w:space="0" w:color="auto"/>
      </w:divBdr>
    </w:div>
    <w:div w:id="1465931660">
      <w:bodyDiv w:val="1"/>
      <w:marLeft w:val="0"/>
      <w:marRight w:val="0"/>
      <w:marTop w:val="0"/>
      <w:marBottom w:val="0"/>
      <w:divBdr>
        <w:top w:val="none" w:sz="0" w:space="0" w:color="auto"/>
        <w:left w:val="none" w:sz="0" w:space="0" w:color="auto"/>
        <w:bottom w:val="none" w:sz="0" w:space="0" w:color="auto"/>
        <w:right w:val="none" w:sz="0" w:space="0" w:color="auto"/>
      </w:divBdr>
    </w:div>
    <w:div w:id="1717974591">
      <w:bodyDiv w:val="1"/>
      <w:marLeft w:val="0"/>
      <w:marRight w:val="0"/>
      <w:marTop w:val="0"/>
      <w:marBottom w:val="0"/>
      <w:divBdr>
        <w:top w:val="none" w:sz="0" w:space="0" w:color="auto"/>
        <w:left w:val="none" w:sz="0" w:space="0" w:color="auto"/>
        <w:bottom w:val="none" w:sz="0" w:space="0" w:color="auto"/>
        <w:right w:val="none" w:sz="0" w:space="0" w:color="auto"/>
      </w:divBdr>
    </w:div>
    <w:div w:id="1789465060">
      <w:bodyDiv w:val="1"/>
      <w:marLeft w:val="0"/>
      <w:marRight w:val="0"/>
      <w:marTop w:val="0"/>
      <w:marBottom w:val="0"/>
      <w:divBdr>
        <w:top w:val="none" w:sz="0" w:space="0" w:color="auto"/>
        <w:left w:val="none" w:sz="0" w:space="0" w:color="auto"/>
        <w:bottom w:val="none" w:sz="0" w:space="0" w:color="auto"/>
        <w:right w:val="none" w:sz="0" w:space="0" w:color="auto"/>
      </w:divBdr>
    </w:div>
    <w:div w:id="1806581544">
      <w:bodyDiv w:val="1"/>
      <w:marLeft w:val="0"/>
      <w:marRight w:val="0"/>
      <w:marTop w:val="0"/>
      <w:marBottom w:val="0"/>
      <w:divBdr>
        <w:top w:val="none" w:sz="0" w:space="0" w:color="auto"/>
        <w:left w:val="none" w:sz="0" w:space="0" w:color="auto"/>
        <w:bottom w:val="none" w:sz="0" w:space="0" w:color="auto"/>
        <w:right w:val="none" w:sz="0" w:space="0" w:color="auto"/>
      </w:divBdr>
    </w:div>
    <w:div w:id="1859541066">
      <w:bodyDiv w:val="1"/>
      <w:marLeft w:val="0"/>
      <w:marRight w:val="0"/>
      <w:marTop w:val="0"/>
      <w:marBottom w:val="0"/>
      <w:divBdr>
        <w:top w:val="none" w:sz="0" w:space="0" w:color="auto"/>
        <w:left w:val="none" w:sz="0" w:space="0" w:color="auto"/>
        <w:bottom w:val="none" w:sz="0" w:space="0" w:color="auto"/>
        <w:right w:val="none" w:sz="0" w:space="0" w:color="auto"/>
      </w:divBdr>
    </w:div>
    <w:div w:id="1936354195">
      <w:bodyDiv w:val="1"/>
      <w:marLeft w:val="0"/>
      <w:marRight w:val="0"/>
      <w:marTop w:val="0"/>
      <w:marBottom w:val="0"/>
      <w:divBdr>
        <w:top w:val="none" w:sz="0" w:space="0" w:color="auto"/>
        <w:left w:val="none" w:sz="0" w:space="0" w:color="auto"/>
        <w:bottom w:val="none" w:sz="0" w:space="0" w:color="auto"/>
        <w:right w:val="none" w:sz="0" w:space="0" w:color="auto"/>
      </w:divBdr>
    </w:div>
    <w:div w:id="1958099726">
      <w:bodyDiv w:val="1"/>
      <w:marLeft w:val="0"/>
      <w:marRight w:val="0"/>
      <w:marTop w:val="0"/>
      <w:marBottom w:val="0"/>
      <w:divBdr>
        <w:top w:val="none" w:sz="0" w:space="0" w:color="auto"/>
        <w:left w:val="none" w:sz="0" w:space="0" w:color="auto"/>
        <w:bottom w:val="none" w:sz="0" w:space="0" w:color="auto"/>
        <w:right w:val="none" w:sz="0" w:space="0" w:color="auto"/>
      </w:divBdr>
    </w:div>
    <w:div w:id="2032607421">
      <w:bodyDiv w:val="1"/>
      <w:marLeft w:val="0"/>
      <w:marRight w:val="0"/>
      <w:marTop w:val="0"/>
      <w:marBottom w:val="0"/>
      <w:divBdr>
        <w:top w:val="none" w:sz="0" w:space="0" w:color="auto"/>
        <w:left w:val="none" w:sz="0" w:space="0" w:color="auto"/>
        <w:bottom w:val="none" w:sz="0" w:space="0" w:color="auto"/>
        <w:right w:val="none" w:sz="0" w:space="0" w:color="auto"/>
      </w:divBdr>
    </w:div>
    <w:div w:id="2068987721">
      <w:bodyDiv w:val="1"/>
      <w:marLeft w:val="0"/>
      <w:marRight w:val="0"/>
      <w:marTop w:val="0"/>
      <w:marBottom w:val="0"/>
      <w:divBdr>
        <w:top w:val="none" w:sz="0" w:space="0" w:color="auto"/>
        <w:left w:val="none" w:sz="0" w:space="0" w:color="auto"/>
        <w:bottom w:val="none" w:sz="0" w:space="0" w:color="auto"/>
        <w:right w:val="none" w:sz="0" w:space="0" w:color="auto"/>
      </w:divBdr>
    </w:div>
    <w:div w:id="2083328998">
      <w:bodyDiv w:val="1"/>
      <w:marLeft w:val="0"/>
      <w:marRight w:val="0"/>
      <w:marTop w:val="0"/>
      <w:marBottom w:val="0"/>
      <w:divBdr>
        <w:top w:val="none" w:sz="0" w:space="0" w:color="auto"/>
        <w:left w:val="none" w:sz="0" w:space="0" w:color="auto"/>
        <w:bottom w:val="none" w:sz="0" w:space="0" w:color="auto"/>
        <w:right w:val="none" w:sz="0" w:space="0" w:color="auto"/>
      </w:divBdr>
    </w:div>
    <w:div w:id="2091922043">
      <w:bodyDiv w:val="1"/>
      <w:marLeft w:val="0"/>
      <w:marRight w:val="0"/>
      <w:marTop w:val="0"/>
      <w:marBottom w:val="0"/>
      <w:divBdr>
        <w:top w:val="none" w:sz="0" w:space="0" w:color="auto"/>
        <w:left w:val="none" w:sz="0" w:space="0" w:color="auto"/>
        <w:bottom w:val="none" w:sz="0" w:space="0" w:color="auto"/>
        <w:right w:val="none" w:sz="0" w:space="0" w:color="auto"/>
      </w:divBdr>
    </w:div>
    <w:div w:id="21250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numbering" Target="numbering.xml"/><Relationship Id="rId21" Type="http://schemas.openxmlformats.org/officeDocument/2006/relationships/image" Target="media/image1.emf"/><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5.emf"/><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4.emf"/><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3.emf"/><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18.xm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emf"/><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E:\Rur\Figg%201%20e%202%20%20rifatt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oma0\Documents\Ricerca%20Yard\Copia%20di%20I%20cicli%20dell'immobiliareq2.xlsx" TargetMode="Externa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8.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9.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0.xlsx"/></Relationships>
</file>

<file path=word/charts/_rels/chart17.xml.rels><?xml version="1.0" encoding="UTF-8" standalone="yes"?>
<Relationships xmlns="http://schemas.openxmlformats.org/package/2006/relationships"><Relationship Id="rId2" Type="http://schemas.openxmlformats.org/officeDocument/2006/relationships/oleObject" Target="file:///G:\YARD%20-%20RUR\REPORT%20FEBBRAIO%202016\REI%20INDEX%20Valori%20corporate.xlsx" TargetMode="External"/><Relationship Id="rId1" Type="http://schemas.openxmlformats.org/officeDocument/2006/relationships/themeOverride" Target="../theme/themeOverride5.xml"/></Relationships>
</file>

<file path=word/charts/_rels/chart18.xml.rels><?xml version="1.0" encoding="UTF-8" standalone="yes"?>
<Relationships xmlns="http://schemas.openxmlformats.org/package/2006/relationships"><Relationship Id="rId2" Type="http://schemas.openxmlformats.org/officeDocument/2006/relationships/oleObject" Target="file:///G:\YARD%20-%20RUR\REPORT%20FEBBRAIO%202016\REI%20INDEX%20Valori%20corporate.xlsx" TargetMode="External"/><Relationship Id="rId1" Type="http://schemas.openxmlformats.org/officeDocument/2006/relationships/themeOverride" Target="../theme/themeOverride6.xml"/></Relationships>
</file>

<file path=word/charts/_rels/chart19.xml.rels><?xml version="1.0" encoding="UTF-8" standalone="yes"?>
<Relationships xmlns="http://schemas.openxmlformats.org/package/2006/relationships"><Relationship Id="rId2" Type="http://schemas.openxmlformats.org/officeDocument/2006/relationships/oleObject" Target="file:///G:\YARD%20-%20RUR\REPORT%20FEBBRAIO%202016\REI%20INDEX%20Valori%20corporate.xlsx"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oleObject" Target="file:///E:\Rur\Figg%201%20e%202%20%20rifatte.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2.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13.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4.xlsx"/></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1.xml"/><Relationship Id="rId1" Type="http://schemas.microsoft.com/office/2011/relationships/chartStyle" Target="style11.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2.xml"/><Relationship Id="rId1" Type="http://schemas.microsoft.com/office/2011/relationships/chartStyle" Target="style12.xml"/></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3.xml"/><Relationship Id="rId1" Type="http://schemas.microsoft.com/office/2011/relationships/chartStyle" Target="style13.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4.xml"/><Relationship Id="rId1" Type="http://schemas.microsoft.com/office/2011/relationships/chartStyle" Target="style14.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15.xml"/><Relationship Id="rId1" Type="http://schemas.microsoft.com/office/2011/relationships/chartStyle" Target="style15.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rdini\Desktop\grafici%20Roma.xlsx" TargetMode="Externa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16.xml"/><Relationship Id="rId1" Type="http://schemas.microsoft.com/office/2011/relationships/chartStyle" Target="style16.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rdini\Desktop\grafici%20Ro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Rur\Figg.3-4-5.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it-IT" sz="1050">
                <a:solidFill>
                  <a:schemeClr val="bg1">
                    <a:lumMod val="50000"/>
                  </a:schemeClr>
                </a:solidFill>
              </a:rPr>
              <a:t>Andamento</a:t>
            </a:r>
            <a:r>
              <a:rPr lang="it-IT" sz="1050" baseline="0">
                <a:solidFill>
                  <a:schemeClr val="bg1">
                    <a:lumMod val="50000"/>
                  </a:schemeClr>
                </a:solidFill>
              </a:rPr>
              <a:t> Compravendite</a:t>
            </a:r>
            <a:endParaRPr lang="it-IT" sz="1050">
              <a:solidFill>
                <a:schemeClr val="bg1">
                  <a:lumMod val="50000"/>
                </a:schemeClr>
              </a:solidFill>
            </a:endParaRPr>
          </a:p>
        </c:rich>
      </c:tx>
      <c:layout>
        <c:manualLayout>
          <c:xMode val="edge"/>
          <c:yMode val="edge"/>
          <c:x val="0.35334320987654322"/>
          <c:y val="3.4591194968553458E-2"/>
        </c:manualLayout>
      </c:layout>
      <c:overlay val="0"/>
    </c:title>
    <c:autoTitleDeleted val="0"/>
    <c:plotArea>
      <c:layout>
        <c:manualLayout>
          <c:layoutTarget val="inner"/>
          <c:xMode val="edge"/>
          <c:yMode val="edge"/>
          <c:x val="1.2721045719673184E-2"/>
          <c:y val="0.11427576601671309"/>
          <c:w val="0.97448290386232184"/>
          <c:h val="0.67214621762112603"/>
        </c:manualLayout>
      </c:layout>
      <c:barChart>
        <c:barDir val="col"/>
        <c:grouping val="clustered"/>
        <c:varyColors val="0"/>
        <c:ser>
          <c:idx val="0"/>
          <c:order val="0"/>
          <c:tx>
            <c:strRef>
              <c:f>Fig.1!$F$7</c:f>
              <c:strCache>
                <c:ptCount val="1"/>
                <c:pt idx="0">
                  <c:v>2016</c:v>
                </c:pt>
              </c:strCache>
            </c:strRef>
          </c:tx>
          <c:spPr>
            <a:solidFill>
              <a:schemeClr val="accent4">
                <a:alpha val="83000"/>
              </a:schemeClr>
            </a:solidFill>
          </c:spPr>
          <c:invertIfNegative val="0"/>
          <c:dLbls>
            <c:dLbl>
              <c:idx val="1"/>
              <c:tx>
                <c:rich>
                  <a:bodyPr/>
                  <a:lstStyle/>
                  <a:p>
                    <a:r>
                      <a:rPr lang="en-US"/>
                      <a:t>75,6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Fig.1!$D$8:$E$12</c:f>
              <c:strCache>
                <c:ptCount val="5"/>
                <c:pt idx="0">
                  <c:v>Residenziale Nuovo</c:v>
                </c:pt>
                <c:pt idx="1">
                  <c:v>Residenziale Usato</c:v>
                </c:pt>
                <c:pt idx="2">
                  <c:v>Commerciale</c:v>
                </c:pt>
                <c:pt idx="3">
                  <c:v>Uffici</c:v>
                </c:pt>
                <c:pt idx="4">
                  <c:v>Logistica/Industriale</c:v>
                </c:pt>
              </c:strCache>
            </c:strRef>
          </c:cat>
          <c:val>
            <c:numRef>
              <c:f>Fig.1!$F$8:$F$12</c:f>
              <c:numCache>
                <c:formatCode>General</c:formatCode>
                <c:ptCount val="5"/>
                <c:pt idx="0">
                  <c:v>54.5</c:v>
                </c:pt>
                <c:pt idx="1">
                  <c:v>75.7</c:v>
                </c:pt>
                <c:pt idx="2">
                  <c:v>31.4</c:v>
                </c:pt>
                <c:pt idx="3">
                  <c:v>29.1</c:v>
                </c:pt>
                <c:pt idx="4">
                  <c:v>28.8</c:v>
                </c:pt>
              </c:numCache>
            </c:numRef>
          </c:val>
        </c:ser>
        <c:ser>
          <c:idx val="1"/>
          <c:order val="1"/>
          <c:tx>
            <c:strRef>
              <c:f>Fig.1!$G$7</c:f>
              <c:strCache>
                <c:ptCount val="1"/>
                <c:pt idx="0">
                  <c:v>2018</c:v>
                </c:pt>
              </c:strCache>
            </c:strRef>
          </c:tx>
          <c:spPr>
            <a:solidFill>
              <a:schemeClr val="accent1">
                <a:alpha val="72000"/>
              </a:schemeClr>
            </a:solidFill>
          </c:spPr>
          <c:invertIfNegative val="0"/>
          <c:dLbls>
            <c:dLbl>
              <c:idx val="1"/>
              <c:tx>
                <c:rich>
                  <a:bodyPr/>
                  <a:lstStyle/>
                  <a:p>
                    <a:r>
                      <a:rPr lang="en-US"/>
                      <a:t>77,8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Fig.1!$D$8:$E$12</c:f>
              <c:strCache>
                <c:ptCount val="5"/>
                <c:pt idx="0">
                  <c:v>Residenziale Nuovo</c:v>
                </c:pt>
                <c:pt idx="1">
                  <c:v>Residenziale Usato</c:v>
                </c:pt>
                <c:pt idx="2">
                  <c:v>Commerciale</c:v>
                </c:pt>
                <c:pt idx="3">
                  <c:v>Uffici</c:v>
                </c:pt>
                <c:pt idx="4">
                  <c:v>Logistica/Industriale</c:v>
                </c:pt>
              </c:strCache>
            </c:strRef>
          </c:cat>
          <c:val>
            <c:numRef>
              <c:f>Fig.1!$G$8:$G$12</c:f>
              <c:numCache>
                <c:formatCode>General</c:formatCode>
                <c:ptCount val="5"/>
                <c:pt idx="0">
                  <c:v>73.400000000000006</c:v>
                </c:pt>
                <c:pt idx="1">
                  <c:v>77.5</c:v>
                </c:pt>
                <c:pt idx="2">
                  <c:v>47.4</c:v>
                </c:pt>
                <c:pt idx="3">
                  <c:v>43.1</c:v>
                </c:pt>
                <c:pt idx="4">
                  <c:v>41.9</c:v>
                </c:pt>
              </c:numCache>
            </c:numRef>
          </c:val>
        </c:ser>
        <c:dLbls>
          <c:showLegendKey val="0"/>
          <c:showVal val="0"/>
          <c:showCatName val="0"/>
          <c:showSerName val="0"/>
          <c:showPercent val="0"/>
          <c:showBubbleSize val="0"/>
        </c:dLbls>
        <c:gapWidth val="90"/>
        <c:axId val="403341360"/>
        <c:axId val="403341752"/>
      </c:barChart>
      <c:catAx>
        <c:axId val="403341360"/>
        <c:scaling>
          <c:orientation val="minMax"/>
        </c:scaling>
        <c:delete val="0"/>
        <c:axPos val="b"/>
        <c:numFmt formatCode="General" sourceLinked="0"/>
        <c:majorTickMark val="none"/>
        <c:minorTickMark val="none"/>
        <c:tickLblPos val="nextTo"/>
        <c:crossAx val="403341752"/>
        <c:crosses val="autoZero"/>
        <c:auto val="1"/>
        <c:lblAlgn val="ctr"/>
        <c:lblOffset val="100"/>
        <c:noMultiLvlLbl val="0"/>
      </c:catAx>
      <c:valAx>
        <c:axId val="403341752"/>
        <c:scaling>
          <c:orientation val="minMax"/>
        </c:scaling>
        <c:delete val="1"/>
        <c:axPos val="l"/>
        <c:majorGridlines/>
        <c:numFmt formatCode="General" sourceLinked="1"/>
        <c:majorTickMark val="none"/>
        <c:minorTickMark val="none"/>
        <c:tickLblPos val="nextTo"/>
        <c:crossAx val="403341360"/>
        <c:crosses val="autoZero"/>
        <c:crossBetween val="between"/>
      </c:valAx>
    </c:plotArea>
    <c:legend>
      <c:legendPos val="b"/>
      <c:overlay val="0"/>
    </c:legend>
    <c:plotVisOnly val="1"/>
    <c:dispBlanksAs val="gap"/>
    <c:showDLblsOverMax val="0"/>
  </c:chart>
  <c:spPr>
    <a:ln>
      <a:solidFill>
        <a:schemeClr val="bg2"/>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1628336061954E-2"/>
          <c:y val="5.9340264505771727E-2"/>
          <c:w val="0.91184844468698834"/>
          <c:h val="0.80082995693499481"/>
        </c:manualLayout>
      </c:layout>
      <c:lineChart>
        <c:grouping val="standard"/>
        <c:varyColors val="0"/>
        <c:ser>
          <c:idx val="0"/>
          <c:order val="0"/>
          <c:tx>
            <c:strRef>
              <c:f>'grafico cicli 2014 (2)'!$B$1</c:f>
              <c:strCache>
                <c:ptCount val="1"/>
                <c:pt idx="0">
                  <c:v>Prezzi reali</c:v>
                </c:pt>
              </c:strCache>
            </c:strRef>
          </c:tx>
          <c:spPr>
            <a:ln w="38100">
              <a:solidFill>
                <a:srgbClr val="FF0000"/>
              </a:solidFill>
              <a:prstDash val="solid"/>
            </a:ln>
          </c:spPr>
          <c:marker>
            <c:symbol val="none"/>
          </c:marker>
          <c:cat>
            <c:numRef>
              <c:f>'grafico cicli 2014 (2)'!$A$2:$A$71</c:f>
              <c:numCache>
                <c:formatCode>0</c:formatCode>
                <c:ptCount val="70"/>
                <c:pt idx="0">
                  <c:v>1958</c:v>
                </c:pt>
                <c:pt idx="1">
                  <c:v>1959</c:v>
                </c:pt>
                <c:pt idx="2">
                  <c:v>1960</c:v>
                </c:pt>
                <c:pt idx="3">
                  <c:v>1961</c:v>
                </c:pt>
                <c:pt idx="4">
                  <c:v>1962</c:v>
                </c:pt>
                <c:pt idx="5">
                  <c:v>1963</c:v>
                </c:pt>
                <c:pt idx="6">
                  <c:v>1964</c:v>
                </c:pt>
                <c:pt idx="7">
                  <c:v>1965</c:v>
                </c:pt>
                <c:pt idx="8">
                  <c:v>1966</c:v>
                </c:pt>
                <c:pt idx="9">
                  <c:v>1967</c:v>
                </c:pt>
                <c:pt idx="10">
                  <c:v>1968</c:v>
                </c:pt>
                <c:pt idx="11">
                  <c:v>1969</c:v>
                </c:pt>
                <c:pt idx="12">
                  <c:v>1970</c:v>
                </c:pt>
                <c:pt idx="13">
                  <c:v>1971</c:v>
                </c:pt>
                <c:pt idx="14">
                  <c:v>1972</c:v>
                </c:pt>
                <c:pt idx="15">
                  <c:v>1973</c:v>
                </c:pt>
                <c:pt idx="16">
                  <c:v>1974</c:v>
                </c:pt>
                <c:pt idx="17">
                  <c:v>1975</c:v>
                </c:pt>
                <c:pt idx="18">
                  <c:v>1976</c:v>
                </c:pt>
                <c:pt idx="19">
                  <c:v>1977</c:v>
                </c:pt>
                <c:pt idx="20">
                  <c:v>1978</c:v>
                </c:pt>
                <c:pt idx="21">
                  <c:v>1979</c:v>
                </c:pt>
                <c:pt idx="22">
                  <c:v>1980</c:v>
                </c:pt>
                <c:pt idx="23">
                  <c:v>1981</c:v>
                </c:pt>
                <c:pt idx="24">
                  <c:v>1982</c:v>
                </c:pt>
                <c:pt idx="25">
                  <c:v>1983</c:v>
                </c:pt>
                <c:pt idx="26">
                  <c:v>1984</c:v>
                </c:pt>
                <c:pt idx="27">
                  <c:v>1985</c:v>
                </c:pt>
                <c:pt idx="28">
                  <c:v>1986</c:v>
                </c:pt>
                <c:pt idx="29">
                  <c:v>1987</c:v>
                </c:pt>
                <c:pt idx="30">
                  <c:v>1988</c:v>
                </c:pt>
                <c:pt idx="31">
                  <c:v>1989</c:v>
                </c:pt>
                <c:pt idx="32">
                  <c:v>1990</c:v>
                </c:pt>
                <c:pt idx="33">
                  <c:v>1991</c:v>
                </c:pt>
                <c:pt idx="34">
                  <c:v>1992</c:v>
                </c:pt>
                <c:pt idx="35">
                  <c:v>1993</c:v>
                </c:pt>
                <c:pt idx="36">
                  <c:v>1994</c:v>
                </c:pt>
                <c:pt idx="37">
                  <c:v>1995</c:v>
                </c:pt>
                <c:pt idx="38">
                  <c:v>1996</c:v>
                </c:pt>
                <c:pt idx="39">
                  <c:v>1997</c:v>
                </c:pt>
                <c:pt idx="40">
                  <c:v>1998</c:v>
                </c:pt>
                <c:pt idx="41">
                  <c:v>1999</c:v>
                </c:pt>
                <c:pt idx="42">
                  <c:v>2000</c:v>
                </c:pt>
                <c:pt idx="43">
                  <c:v>2001</c:v>
                </c:pt>
                <c:pt idx="44">
                  <c:v>2002</c:v>
                </c:pt>
                <c:pt idx="45">
                  <c:v>2003</c:v>
                </c:pt>
                <c:pt idx="46">
                  <c:v>2004</c:v>
                </c:pt>
                <c:pt idx="47">
                  <c:v>2005</c:v>
                </c:pt>
                <c:pt idx="48">
                  <c:v>2006</c:v>
                </c:pt>
                <c:pt idx="49">
                  <c:v>2007</c:v>
                </c:pt>
                <c:pt idx="50">
                  <c:v>2008</c:v>
                </c:pt>
                <c:pt idx="51">
                  <c:v>2009</c:v>
                </c:pt>
                <c:pt idx="52">
                  <c:v>2010</c:v>
                </c:pt>
                <c:pt idx="53">
                  <c:v>2011</c:v>
                </c:pt>
                <c:pt idx="54">
                  <c:v>2012</c:v>
                </c:pt>
                <c:pt idx="55">
                  <c:v>2013</c:v>
                </c:pt>
                <c:pt idx="56">
                  <c:v>2014</c:v>
                </c:pt>
                <c:pt idx="57">
                  <c:v>2015</c:v>
                </c:pt>
                <c:pt idx="58">
                  <c:v>2016</c:v>
                </c:pt>
                <c:pt idx="59">
                  <c:v>2017</c:v>
                </c:pt>
                <c:pt idx="60">
                  <c:v>2018</c:v>
                </c:pt>
                <c:pt idx="61">
                  <c:v>2019</c:v>
                </c:pt>
                <c:pt idx="62">
                  <c:v>2020</c:v>
                </c:pt>
                <c:pt idx="63">
                  <c:v>2021</c:v>
                </c:pt>
                <c:pt idx="64">
                  <c:v>2022</c:v>
                </c:pt>
                <c:pt idx="65">
                  <c:v>2023</c:v>
                </c:pt>
                <c:pt idx="66">
                  <c:v>2024</c:v>
                </c:pt>
                <c:pt idx="67">
                  <c:v>2025</c:v>
                </c:pt>
                <c:pt idx="68">
                  <c:v>2026</c:v>
                </c:pt>
                <c:pt idx="69">
                  <c:v>2027</c:v>
                </c:pt>
              </c:numCache>
            </c:numRef>
          </c:cat>
          <c:val>
            <c:numRef>
              <c:f>'grafico cicli 2014 (2)'!$B$2:$B$71</c:f>
              <c:numCache>
                <c:formatCode>#,##0.0</c:formatCode>
                <c:ptCount val="70"/>
                <c:pt idx="0">
                  <c:v>100</c:v>
                </c:pt>
                <c:pt idx="1">
                  <c:v>102.34604105571847</c:v>
                </c:pt>
                <c:pt idx="2">
                  <c:v>103.3724340175953</c:v>
                </c:pt>
                <c:pt idx="3">
                  <c:v>102.27272727272727</c:v>
                </c:pt>
                <c:pt idx="4">
                  <c:v>102.41935483870968</c:v>
                </c:pt>
                <c:pt idx="5">
                  <c:v>103.1524926686217</c:v>
                </c:pt>
                <c:pt idx="6">
                  <c:v>103.37243401759532</c:v>
                </c:pt>
                <c:pt idx="7">
                  <c:v>103.37243401759532</c:v>
                </c:pt>
                <c:pt idx="8">
                  <c:v>102.78592375366571</c:v>
                </c:pt>
                <c:pt idx="9">
                  <c:v>103.51906158357772</c:v>
                </c:pt>
                <c:pt idx="10">
                  <c:v>103.59237536656892</c:v>
                </c:pt>
                <c:pt idx="11">
                  <c:v>102.05278592375367</c:v>
                </c:pt>
                <c:pt idx="12">
                  <c:v>113.56304985337245</c:v>
                </c:pt>
                <c:pt idx="13">
                  <c:v>136.950146627566</c:v>
                </c:pt>
                <c:pt idx="14">
                  <c:v>143.3284457478006</c:v>
                </c:pt>
                <c:pt idx="15">
                  <c:v>154.61876832844578</c:v>
                </c:pt>
                <c:pt idx="16">
                  <c:v>181.23167155425224</c:v>
                </c:pt>
                <c:pt idx="17">
                  <c:v>175.29325513196486</c:v>
                </c:pt>
                <c:pt idx="18">
                  <c:v>166.20234604105576</c:v>
                </c:pt>
                <c:pt idx="19">
                  <c:v>165.90909090909093</c:v>
                </c:pt>
                <c:pt idx="20">
                  <c:v>172.28739002932554</c:v>
                </c:pt>
                <c:pt idx="21">
                  <c:v>180.49853372434021</c:v>
                </c:pt>
                <c:pt idx="22">
                  <c:v>184.0175953079179</c:v>
                </c:pt>
                <c:pt idx="23">
                  <c:v>251.09970674486803</c:v>
                </c:pt>
                <c:pt idx="24">
                  <c:v>253.88563049853371</c:v>
                </c:pt>
                <c:pt idx="25">
                  <c:v>226.39296187683283</c:v>
                </c:pt>
                <c:pt idx="26">
                  <c:v>219.64809384164221</c:v>
                </c:pt>
                <c:pt idx="27">
                  <c:v>206.89149560117301</c:v>
                </c:pt>
                <c:pt idx="28">
                  <c:v>207.84457478005865</c:v>
                </c:pt>
                <c:pt idx="29">
                  <c:v>211.21700879765396</c:v>
                </c:pt>
                <c:pt idx="30">
                  <c:v>217.00879765395896</c:v>
                </c:pt>
                <c:pt idx="31">
                  <c:v>225.65982404692085</c:v>
                </c:pt>
                <c:pt idx="32">
                  <c:v>247.58064516129036</c:v>
                </c:pt>
                <c:pt idx="33">
                  <c:v>278.59237536656894</c:v>
                </c:pt>
                <c:pt idx="34">
                  <c:v>289.36950146627572</c:v>
                </c:pt>
                <c:pt idx="35">
                  <c:v>265.54252199413497</c:v>
                </c:pt>
                <c:pt idx="36">
                  <c:v>247.06744868035199</c:v>
                </c:pt>
                <c:pt idx="37">
                  <c:v>231.67155425219948</c:v>
                </c:pt>
                <c:pt idx="38">
                  <c:v>222.87390029325519</c:v>
                </c:pt>
                <c:pt idx="39">
                  <c:v>216.56891495601178</c:v>
                </c:pt>
                <c:pt idx="40">
                  <c:v>212.75659824046926</c:v>
                </c:pt>
                <c:pt idx="41">
                  <c:v>214.44281524926691</c:v>
                </c:pt>
                <c:pt idx="42">
                  <c:v>229.61876832844581</c:v>
                </c:pt>
                <c:pt idx="43">
                  <c:v>243.03519061583586</c:v>
                </c:pt>
                <c:pt idx="44">
                  <c:v>255.71847507331387</c:v>
                </c:pt>
                <c:pt idx="45">
                  <c:v>267.44868035190626</c:v>
                </c:pt>
                <c:pt idx="46">
                  <c:v>279.17888563049866</c:v>
                </c:pt>
                <c:pt idx="47">
                  <c:v>289.00293255131982</c:v>
                </c:pt>
                <c:pt idx="48">
                  <c:v>297.21407624633446</c:v>
                </c:pt>
                <c:pt idx="49">
                  <c:v>304.39882697947229</c:v>
                </c:pt>
                <c:pt idx="50">
                  <c:v>298.82697947214092</c:v>
                </c:pt>
                <c:pt idx="51" formatCode="0.0">
                  <c:v>277.27272727272742</c:v>
                </c:pt>
                <c:pt idx="52" formatCode="0.0">
                  <c:v>265.98240469208224</c:v>
                </c:pt>
                <c:pt idx="53" formatCode="0.0">
                  <c:v>263.78299120234618</c:v>
                </c:pt>
                <c:pt idx="54" formatCode="0.0">
                  <c:v>256.45161290322591</c:v>
                </c:pt>
                <c:pt idx="55" formatCode="0.0">
                  <c:v>241.78885630498542</c:v>
                </c:pt>
                <c:pt idx="56" formatCode="0.0">
                  <c:v>231.15835777126105</c:v>
                </c:pt>
                <c:pt idx="57" formatCode="General">
                  <c:v>225.4</c:v>
                </c:pt>
              </c:numCache>
            </c:numRef>
          </c:val>
          <c:smooth val="0"/>
        </c:ser>
        <c:ser>
          <c:idx val="2"/>
          <c:order val="2"/>
          <c:tx>
            <c:strRef>
              <c:f>'grafico cicli 2014 (2)'!$D$1</c:f>
              <c:strCache>
                <c:ptCount val="1"/>
                <c:pt idx="0">
                  <c:v>Prezzi Futuri</c:v>
                </c:pt>
              </c:strCache>
            </c:strRef>
          </c:tx>
          <c:spPr>
            <a:ln w="38100">
              <a:solidFill>
                <a:schemeClr val="accent1">
                  <a:lumMod val="50000"/>
                </a:schemeClr>
              </a:solidFill>
              <a:prstDash val="solid"/>
            </a:ln>
          </c:spPr>
          <c:marker>
            <c:symbol val="none"/>
          </c:marker>
          <c:cat>
            <c:numRef>
              <c:f>'grafico cicli 2014 (2)'!$A$2:$A$71</c:f>
              <c:numCache>
                <c:formatCode>0</c:formatCode>
                <c:ptCount val="70"/>
                <c:pt idx="0">
                  <c:v>1958</c:v>
                </c:pt>
                <c:pt idx="1">
                  <c:v>1959</c:v>
                </c:pt>
                <c:pt idx="2">
                  <c:v>1960</c:v>
                </c:pt>
                <c:pt idx="3">
                  <c:v>1961</c:v>
                </c:pt>
                <c:pt idx="4">
                  <c:v>1962</c:v>
                </c:pt>
                <c:pt idx="5">
                  <c:v>1963</c:v>
                </c:pt>
                <c:pt idx="6">
                  <c:v>1964</c:v>
                </c:pt>
                <c:pt idx="7">
                  <c:v>1965</c:v>
                </c:pt>
                <c:pt idx="8">
                  <c:v>1966</c:v>
                </c:pt>
                <c:pt idx="9">
                  <c:v>1967</c:v>
                </c:pt>
                <c:pt idx="10">
                  <c:v>1968</c:v>
                </c:pt>
                <c:pt idx="11">
                  <c:v>1969</c:v>
                </c:pt>
                <c:pt idx="12">
                  <c:v>1970</c:v>
                </c:pt>
                <c:pt idx="13">
                  <c:v>1971</c:v>
                </c:pt>
                <c:pt idx="14">
                  <c:v>1972</c:v>
                </c:pt>
                <c:pt idx="15">
                  <c:v>1973</c:v>
                </c:pt>
                <c:pt idx="16">
                  <c:v>1974</c:v>
                </c:pt>
                <c:pt idx="17">
                  <c:v>1975</c:v>
                </c:pt>
                <c:pt idx="18">
                  <c:v>1976</c:v>
                </c:pt>
                <c:pt idx="19">
                  <c:v>1977</c:v>
                </c:pt>
                <c:pt idx="20">
                  <c:v>1978</c:v>
                </c:pt>
                <c:pt idx="21">
                  <c:v>1979</c:v>
                </c:pt>
                <c:pt idx="22">
                  <c:v>1980</c:v>
                </c:pt>
                <c:pt idx="23">
                  <c:v>1981</c:v>
                </c:pt>
                <c:pt idx="24">
                  <c:v>1982</c:v>
                </c:pt>
                <c:pt idx="25">
                  <c:v>1983</c:v>
                </c:pt>
                <c:pt idx="26">
                  <c:v>1984</c:v>
                </c:pt>
                <c:pt idx="27">
                  <c:v>1985</c:v>
                </c:pt>
                <c:pt idx="28">
                  <c:v>1986</c:v>
                </c:pt>
                <c:pt idx="29">
                  <c:v>1987</c:v>
                </c:pt>
                <c:pt idx="30">
                  <c:v>1988</c:v>
                </c:pt>
                <c:pt idx="31">
                  <c:v>1989</c:v>
                </c:pt>
                <c:pt idx="32">
                  <c:v>1990</c:v>
                </c:pt>
                <c:pt idx="33">
                  <c:v>1991</c:v>
                </c:pt>
                <c:pt idx="34">
                  <c:v>1992</c:v>
                </c:pt>
                <c:pt idx="35">
                  <c:v>1993</c:v>
                </c:pt>
                <c:pt idx="36">
                  <c:v>1994</c:v>
                </c:pt>
                <c:pt idx="37">
                  <c:v>1995</c:v>
                </c:pt>
                <c:pt idx="38">
                  <c:v>1996</c:v>
                </c:pt>
                <c:pt idx="39">
                  <c:v>1997</c:v>
                </c:pt>
                <c:pt idx="40">
                  <c:v>1998</c:v>
                </c:pt>
                <c:pt idx="41">
                  <c:v>1999</c:v>
                </c:pt>
                <c:pt idx="42">
                  <c:v>2000</c:v>
                </c:pt>
                <c:pt idx="43">
                  <c:v>2001</c:v>
                </c:pt>
                <c:pt idx="44">
                  <c:v>2002</c:v>
                </c:pt>
                <c:pt idx="45">
                  <c:v>2003</c:v>
                </c:pt>
                <c:pt idx="46">
                  <c:v>2004</c:v>
                </c:pt>
                <c:pt idx="47">
                  <c:v>2005</c:v>
                </c:pt>
                <c:pt idx="48">
                  <c:v>2006</c:v>
                </c:pt>
                <c:pt idx="49">
                  <c:v>2007</c:v>
                </c:pt>
                <c:pt idx="50">
                  <c:v>2008</c:v>
                </c:pt>
                <c:pt idx="51">
                  <c:v>2009</c:v>
                </c:pt>
                <c:pt idx="52">
                  <c:v>2010</c:v>
                </c:pt>
                <c:pt idx="53">
                  <c:v>2011</c:v>
                </c:pt>
                <c:pt idx="54">
                  <c:v>2012</c:v>
                </c:pt>
                <c:pt idx="55">
                  <c:v>2013</c:v>
                </c:pt>
                <c:pt idx="56">
                  <c:v>2014</c:v>
                </c:pt>
                <c:pt idx="57">
                  <c:v>2015</c:v>
                </c:pt>
                <c:pt idx="58">
                  <c:v>2016</c:v>
                </c:pt>
                <c:pt idx="59">
                  <c:v>2017</c:v>
                </c:pt>
                <c:pt idx="60">
                  <c:v>2018</c:v>
                </c:pt>
                <c:pt idx="61">
                  <c:v>2019</c:v>
                </c:pt>
                <c:pt idx="62">
                  <c:v>2020</c:v>
                </c:pt>
                <c:pt idx="63">
                  <c:v>2021</c:v>
                </c:pt>
                <c:pt idx="64">
                  <c:v>2022</c:v>
                </c:pt>
                <c:pt idx="65">
                  <c:v>2023</c:v>
                </c:pt>
                <c:pt idx="66">
                  <c:v>2024</c:v>
                </c:pt>
                <c:pt idx="67">
                  <c:v>2025</c:v>
                </c:pt>
                <c:pt idx="68">
                  <c:v>2026</c:v>
                </c:pt>
                <c:pt idx="69">
                  <c:v>2027</c:v>
                </c:pt>
              </c:numCache>
            </c:numRef>
          </c:cat>
          <c:val>
            <c:numRef>
              <c:f>'grafico cicli 2014 (2)'!$F$2:$F$71</c:f>
              <c:numCache>
                <c:formatCode>General</c:formatCode>
                <c:ptCount val="70"/>
                <c:pt idx="57">
                  <c:v>225.4</c:v>
                </c:pt>
                <c:pt idx="58">
                  <c:v>220</c:v>
                </c:pt>
                <c:pt idx="59">
                  <c:v>212.91</c:v>
                </c:pt>
                <c:pt idx="60">
                  <c:v>224.68</c:v>
                </c:pt>
                <c:pt idx="61">
                  <c:v>252.1</c:v>
                </c:pt>
                <c:pt idx="62">
                  <c:v>266.52999999999997</c:v>
                </c:pt>
                <c:pt idx="63">
                  <c:v>279.02</c:v>
                </c:pt>
                <c:pt idx="64">
                  <c:v>314.69</c:v>
                </c:pt>
                <c:pt idx="65">
                  <c:v>309.85000000000002</c:v>
                </c:pt>
                <c:pt idx="66">
                  <c:v>295.25</c:v>
                </c:pt>
                <c:pt idx="67">
                  <c:v>290.75</c:v>
                </c:pt>
                <c:pt idx="68">
                  <c:v>288.88</c:v>
                </c:pt>
                <c:pt idx="69">
                  <c:v>287.33999999999997</c:v>
                </c:pt>
              </c:numCache>
            </c:numRef>
          </c:val>
          <c:smooth val="0"/>
        </c:ser>
        <c:dLbls>
          <c:showLegendKey val="0"/>
          <c:showVal val="0"/>
          <c:showCatName val="0"/>
          <c:showSerName val="0"/>
          <c:showPercent val="0"/>
          <c:showBubbleSize val="0"/>
        </c:dLbls>
        <c:smooth val="0"/>
        <c:axId val="464248408"/>
        <c:axId val="464248800"/>
        <c:extLst>
          <c:ext xmlns:c15="http://schemas.microsoft.com/office/drawing/2012/chart" uri="{02D57815-91ED-43cb-92C2-25804820EDAC}">
            <c15:filteredLineSeries>
              <c15:ser>
                <c:idx val="1"/>
                <c:order val="1"/>
                <c:tx>
                  <c:strRef>
                    <c:extLst>
                      <c:ext uri="{02D57815-91ED-43cb-92C2-25804820EDAC}">
                        <c15:formulaRef>
                          <c15:sqref>'grafico cicli 2014 (2)'!$C$1</c15:sqref>
                        </c15:formulaRef>
                      </c:ext>
                    </c:extLst>
                    <c:strCache>
                      <c:ptCount val="1"/>
                      <c:pt idx="0">
                        <c:v>Compravendite</c:v>
                      </c:pt>
                    </c:strCache>
                  </c:strRef>
                </c:tx>
                <c:spPr>
                  <a:ln w="38100">
                    <a:solidFill>
                      <a:srgbClr val="FF6600"/>
                    </a:solidFill>
                    <a:prstDash val="solid"/>
                  </a:ln>
                </c:spPr>
                <c:marker>
                  <c:symbol val="none"/>
                </c:marker>
                <c:cat>
                  <c:numRef>
                    <c:extLst>
                      <c:ext uri="{02D57815-91ED-43cb-92C2-25804820EDAC}">
                        <c15:formulaRef>
                          <c15:sqref>'grafico cicli 2014 (2)'!$A$2:$A$71</c15:sqref>
                        </c15:formulaRef>
                      </c:ext>
                    </c:extLst>
                    <c:numCache>
                      <c:formatCode>0</c:formatCode>
                      <c:ptCount val="70"/>
                      <c:pt idx="0">
                        <c:v>1958</c:v>
                      </c:pt>
                      <c:pt idx="1">
                        <c:v>1959</c:v>
                      </c:pt>
                      <c:pt idx="2">
                        <c:v>1960</c:v>
                      </c:pt>
                      <c:pt idx="3">
                        <c:v>1961</c:v>
                      </c:pt>
                      <c:pt idx="4">
                        <c:v>1962</c:v>
                      </c:pt>
                      <c:pt idx="5">
                        <c:v>1963</c:v>
                      </c:pt>
                      <c:pt idx="6">
                        <c:v>1964</c:v>
                      </c:pt>
                      <c:pt idx="7">
                        <c:v>1965</c:v>
                      </c:pt>
                      <c:pt idx="8">
                        <c:v>1966</c:v>
                      </c:pt>
                      <c:pt idx="9">
                        <c:v>1967</c:v>
                      </c:pt>
                      <c:pt idx="10">
                        <c:v>1968</c:v>
                      </c:pt>
                      <c:pt idx="11">
                        <c:v>1969</c:v>
                      </c:pt>
                      <c:pt idx="12">
                        <c:v>1970</c:v>
                      </c:pt>
                      <c:pt idx="13">
                        <c:v>1971</c:v>
                      </c:pt>
                      <c:pt idx="14">
                        <c:v>1972</c:v>
                      </c:pt>
                      <c:pt idx="15">
                        <c:v>1973</c:v>
                      </c:pt>
                      <c:pt idx="16">
                        <c:v>1974</c:v>
                      </c:pt>
                      <c:pt idx="17">
                        <c:v>1975</c:v>
                      </c:pt>
                      <c:pt idx="18">
                        <c:v>1976</c:v>
                      </c:pt>
                      <c:pt idx="19">
                        <c:v>1977</c:v>
                      </c:pt>
                      <c:pt idx="20">
                        <c:v>1978</c:v>
                      </c:pt>
                      <c:pt idx="21">
                        <c:v>1979</c:v>
                      </c:pt>
                      <c:pt idx="22">
                        <c:v>1980</c:v>
                      </c:pt>
                      <c:pt idx="23">
                        <c:v>1981</c:v>
                      </c:pt>
                      <c:pt idx="24">
                        <c:v>1982</c:v>
                      </c:pt>
                      <c:pt idx="25">
                        <c:v>1983</c:v>
                      </c:pt>
                      <c:pt idx="26">
                        <c:v>1984</c:v>
                      </c:pt>
                      <c:pt idx="27">
                        <c:v>1985</c:v>
                      </c:pt>
                      <c:pt idx="28">
                        <c:v>1986</c:v>
                      </c:pt>
                      <c:pt idx="29">
                        <c:v>1987</c:v>
                      </c:pt>
                      <c:pt idx="30">
                        <c:v>1988</c:v>
                      </c:pt>
                      <c:pt idx="31">
                        <c:v>1989</c:v>
                      </c:pt>
                      <c:pt idx="32">
                        <c:v>1990</c:v>
                      </c:pt>
                      <c:pt idx="33">
                        <c:v>1991</c:v>
                      </c:pt>
                      <c:pt idx="34">
                        <c:v>1992</c:v>
                      </c:pt>
                      <c:pt idx="35">
                        <c:v>1993</c:v>
                      </c:pt>
                      <c:pt idx="36">
                        <c:v>1994</c:v>
                      </c:pt>
                      <c:pt idx="37">
                        <c:v>1995</c:v>
                      </c:pt>
                      <c:pt idx="38">
                        <c:v>1996</c:v>
                      </c:pt>
                      <c:pt idx="39">
                        <c:v>1997</c:v>
                      </c:pt>
                      <c:pt idx="40">
                        <c:v>1998</c:v>
                      </c:pt>
                      <c:pt idx="41">
                        <c:v>1999</c:v>
                      </c:pt>
                      <c:pt idx="42">
                        <c:v>2000</c:v>
                      </c:pt>
                      <c:pt idx="43">
                        <c:v>2001</c:v>
                      </c:pt>
                      <c:pt idx="44">
                        <c:v>2002</c:v>
                      </c:pt>
                      <c:pt idx="45">
                        <c:v>2003</c:v>
                      </c:pt>
                      <c:pt idx="46">
                        <c:v>2004</c:v>
                      </c:pt>
                      <c:pt idx="47">
                        <c:v>2005</c:v>
                      </c:pt>
                      <c:pt idx="48">
                        <c:v>2006</c:v>
                      </c:pt>
                      <c:pt idx="49">
                        <c:v>2007</c:v>
                      </c:pt>
                      <c:pt idx="50">
                        <c:v>2008</c:v>
                      </c:pt>
                      <c:pt idx="51">
                        <c:v>2009</c:v>
                      </c:pt>
                      <c:pt idx="52">
                        <c:v>2010</c:v>
                      </c:pt>
                      <c:pt idx="53">
                        <c:v>2011</c:v>
                      </c:pt>
                      <c:pt idx="54">
                        <c:v>2012</c:v>
                      </c:pt>
                      <c:pt idx="55">
                        <c:v>2013</c:v>
                      </c:pt>
                      <c:pt idx="56">
                        <c:v>2014</c:v>
                      </c:pt>
                      <c:pt idx="57">
                        <c:v>2015</c:v>
                      </c:pt>
                      <c:pt idx="58">
                        <c:v>2016</c:v>
                      </c:pt>
                      <c:pt idx="59">
                        <c:v>2017</c:v>
                      </c:pt>
                      <c:pt idx="60">
                        <c:v>2018</c:v>
                      </c:pt>
                      <c:pt idx="61">
                        <c:v>2019</c:v>
                      </c:pt>
                      <c:pt idx="62">
                        <c:v>2020</c:v>
                      </c:pt>
                      <c:pt idx="63">
                        <c:v>2021</c:v>
                      </c:pt>
                      <c:pt idx="64">
                        <c:v>2022</c:v>
                      </c:pt>
                      <c:pt idx="65">
                        <c:v>2023</c:v>
                      </c:pt>
                      <c:pt idx="66">
                        <c:v>2024</c:v>
                      </c:pt>
                      <c:pt idx="67">
                        <c:v>2025</c:v>
                      </c:pt>
                      <c:pt idx="68">
                        <c:v>2026</c:v>
                      </c:pt>
                      <c:pt idx="69">
                        <c:v>2027</c:v>
                      </c:pt>
                    </c:numCache>
                  </c:numRef>
                </c:cat>
                <c:val>
                  <c:numRef>
                    <c:extLst>
                      <c:ext uri="{02D57815-91ED-43cb-92C2-25804820EDAC}">
                        <c15:formulaRef>
                          <c15:sqref>'grafico cicli 2014 (2)'!$C$2:$C$61</c15:sqref>
                        </c15:formulaRef>
                      </c:ext>
                    </c:extLst>
                    <c:numCache>
                      <c:formatCode>#,##0.0</c:formatCode>
                      <c:ptCount val="60"/>
                      <c:pt idx="0">
                        <c:v>100</c:v>
                      </c:pt>
                      <c:pt idx="1">
                        <c:v>105.6278519520027</c:v>
                      </c:pt>
                      <c:pt idx="2">
                        <c:v>113</c:v>
                      </c:pt>
                      <c:pt idx="3">
                        <c:v>120</c:v>
                      </c:pt>
                      <c:pt idx="4">
                        <c:v>97.999999999999986</c:v>
                      </c:pt>
                      <c:pt idx="5">
                        <c:v>99.999999999999986</c:v>
                      </c:pt>
                      <c:pt idx="6">
                        <c:v>104.99999999999999</c:v>
                      </c:pt>
                      <c:pt idx="7">
                        <c:v>116.99999999999999</c:v>
                      </c:pt>
                      <c:pt idx="8">
                        <c:v>124.99999999999999</c:v>
                      </c:pt>
                      <c:pt idx="9">
                        <c:v>140</c:v>
                      </c:pt>
                      <c:pt idx="10">
                        <c:v>152.99999999999997</c:v>
                      </c:pt>
                      <c:pt idx="11">
                        <c:v>164.99999999999997</c:v>
                      </c:pt>
                      <c:pt idx="12">
                        <c:v>190.99999999999997</c:v>
                      </c:pt>
                      <c:pt idx="13">
                        <c:v>176.99999999999997</c:v>
                      </c:pt>
                      <c:pt idx="14">
                        <c:v>195.99999999999997</c:v>
                      </c:pt>
                      <c:pt idx="15">
                        <c:v>144.99999999999997</c:v>
                      </c:pt>
                      <c:pt idx="16">
                        <c:v>153.99999999999997</c:v>
                      </c:pt>
                      <c:pt idx="17">
                        <c:v>123.99999999999997</c:v>
                      </c:pt>
                      <c:pt idx="18">
                        <c:v>169.99999999999997</c:v>
                      </c:pt>
                      <c:pt idx="19">
                        <c:v>163.99999999999997</c:v>
                      </c:pt>
                      <c:pt idx="20">
                        <c:v>181.99999999999994</c:v>
                      </c:pt>
                      <c:pt idx="21">
                        <c:v>201.99999999999994</c:v>
                      </c:pt>
                      <c:pt idx="22">
                        <c:v>224.99999999999997</c:v>
                      </c:pt>
                      <c:pt idx="23">
                        <c:v>216</c:v>
                      </c:pt>
                      <c:pt idx="24">
                        <c:v>158</c:v>
                      </c:pt>
                      <c:pt idx="25">
                        <c:v>143</c:v>
                      </c:pt>
                      <c:pt idx="26">
                        <c:v>135</c:v>
                      </c:pt>
                      <c:pt idx="27">
                        <c:v>151.70412934482565</c:v>
                      </c:pt>
                      <c:pt idx="28">
                        <c:v>163.60205058869923</c:v>
                      </c:pt>
                      <c:pt idx="29">
                        <c:v>163.59923384598051</c:v>
                      </c:pt>
                      <c:pt idx="30">
                        <c:v>174.22117063827389</c:v>
                      </c:pt>
                      <c:pt idx="31">
                        <c:v>167.7968846825531</c:v>
                      </c:pt>
                      <c:pt idx="32">
                        <c:v>182.7661117683511</c:v>
                      </c:pt>
                      <c:pt idx="33">
                        <c:v>196.78046307250298</c:v>
                      </c:pt>
                      <c:pt idx="34">
                        <c:v>164.55868683454457</c:v>
                      </c:pt>
                      <c:pt idx="35">
                        <c:v>177.41641315982201</c:v>
                      </c:pt>
                      <c:pt idx="36">
                        <c:v>175.05281392597604</c:v>
                      </c:pt>
                      <c:pt idx="37">
                        <c:v>177.61957072840971</c:v>
                      </c:pt>
                      <c:pt idx="38">
                        <c:v>170.33617824347928</c:v>
                      </c:pt>
                      <c:pt idx="39">
                        <c:v>185.07619289054142</c:v>
                      </c:pt>
                      <c:pt idx="40">
                        <c:v>203.71035434623406</c:v>
                      </c:pt>
                      <c:pt idx="41">
                        <c:v>226.04360317728583</c:v>
                      </c:pt>
                      <c:pt idx="42">
                        <c:v>245.22491690608985</c:v>
                      </c:pt>
                      <c:pt idx="43">
                        <c:v>241.980733479804</c:v>
                      </c:pt>
                      <c:pt idx="44">
                        <c:v>270.59109345952345</c:v>
                      </c:pt>
                      <c:pt idx="45">
                        <c:v>270.78932172835334</c:v>
                      </c:pt>
                      <c:pt idx="46">
                        <c:v>294.04153287138757</c:v>
                      </c:pt>
                      <c:pt idx="47">
                        <c:v>304.91239930144786</c:v>
                      </c:pt>
                      <c:pt idx="48">
                        <c:v>308.78542053968795</c:v>
                      </c:pt>
                      <c:pt idx="49">
                        <c:v>287.30775730944742</c:v>
                      </c:pt>
                      <c:pt idx="50">
                        <c:v>242.59196664976628</c:v>
                      </c:pt>
                      <c:pt idx="51" formatCode="0.0">
                        <c:v>216.18500366176559</c:v>
                      </c:pt>
                      <c:pt idx="52" formatCode="0.0">
                        <c:v>217.24128218128561</c:v>
                      </c:pt>
                      <c:pt idx="53" formatCode="0.0">
                        <c:v>212.31198242352548</c:v>
                      </c:pt>
                      <c:pt idx="54" formatCode="0.0">
                        <c:v>157.73759224832406</c:v>
                      </c:pt>
                      <c:pt idx="55" formatCode="0.0">
                        <c:v>143.30178581488369</c:v>
                      </c:pt>
                      <c:pt idx="56" formatCode="0.0">
                        <c:v>148.23108557264379</c:v>
                      </c:pt>
                      <c:pt idx="57" formatCode="General">
                        <c:v>154.1</c:v>
                      </c:pt>
                    </c:numCache>
                  </c:numRef>
                </c:val>
                <c:smooth val="0"/>
              </c15:ser>
            </c15:filteredLineSeries>
          </c:ext>
        </c:extLst>
      </c:lineChart>
      <c:catAx>
        <c:axId val="464248408"/>
        <c:scaling>
          <c:orientation val="minMax"/>
        </c:scaling>
        <c:delete val="0"/>
        <c:axPos val="b"/>
        <c:numFmt formatCode="0" sourceLinked="1"/>
        <c:majorTickMark val="out"/>
        <c:minorTickMark val="out"/>
        <c:tickLblPos val="nextTo"/>
        <c:spPr>
          <a:ln w="3175">
            <a:solidFill>
              <a:srgbClr val="000000"/>
            </a:solidFill>
            <a:prstDash val="solid"/>
          </a:ln>
        </c:spPr>
        <c:txPr>
          <a:bodyPr rot="-5400000" vert="horz"/>
          <a:lstStyle/>
          <a:p>
            <a:pPr>
              <a:defRPr sz="900" b="0" i="0" u="none" strike="noStrike" baseline="0">
                <a:solidFill>
                  <a:srgbClr val="000000"/>
                </a:solidFill>
                <a:latin typeface="+mn-lt"/>
                <a:ea typeface="Arial"/>
                <a:cs typeface="Arial"/>
              </a:defRPr>
            </a:pPr>
            <a:endParaRPr lang="it-IT"/>
          </a:p>
        </c:txPr>
        <c:crossAx val="464248800"/>
        <c:crossesAt val="0"/>
        <c:auto val="1"/>
        <c:lblAlgn val="ctr"/>
        <c:lblOffset val="100"/>
        <c:tickLblSkip val="2"/>
        <c:tickMarkSkip val="1"/>
        <c:noMultiLvlLbl val="0"/>
      </c:catAx>
      <c:valAx>
        <c:axId val="464248800"/>
        <c:scaling>
          <c:orientation val="minMax"/>
          <c:min val="50"/>
        </c:scaling>
        <c:delete val="0"/>
        <c:axPos val="l"/>
        <c:majorGridlines>
          <c:spPr>
            <a:ln w="3175">
              <a:solidFill>
                <a:srgbClr val="C0C0C0"/>
              </a:solidFill>
              <a:prstDash val="solid"/>
            </a:ln>
          </c:spPr>
        </c:majorGridlines>
        <c:numFmt formatCode="#,##0" sourceLinked="0"/>
        <c:majorTickMark val="out"/>
        <c:minorTickMark val="none"/>
        <c:tickLblPos val="nextTo"/>
        <c:spPr>
          <a:ln w="3175">
            <a:noFill/>
            <a:prstDash val="solid"/>
          </a:ln>
        </c:spPr>
        <c:txPr>
          <a:bodyPr rot="0" vert="horz"/>
          <a:lstStyle/>
          <a:p>
            <a:pPr>
              <a:defRPr sz="900" b="0" i="0" u="none" strike="noStrike" baseline="0">
                <a:solidFill>
                  <a:srgbClr val="000000"/>
                </a:solidFill>
                <a:latin typeface="+mn-lt"/>
                <a:ea typeface="Arial"/>
                <a:cs typeface="Arial"/>
              </a:defRPr>
            </a:pPr>
            <a:endParaRPr lang="it-IT"/>
          </a:p>
        </c:txPr>
        <c:crossAx val="464248408"/>
        <c:crosses val="autoZero"/>
        <c:crossBetween val="between"/>
      </c:valAx>
      <c:spPr>
        <a:noFill/>
        <a:ln w="25400">
          <a:noFill/>
        </a:ln>
      </c:spPr>
    </c:plotArea>
    <c:legend>
      <c:legendPos val="t"/>
      <c:layout>
        <c:manualLayout>
          <c:xMode val="edge"/>
          <c:yMode val="edge"/>
          <c:x val="0.31655622255138899"/>
          <c:y val="6.4724919093851136E-3"/>
          <c:w val="0.35072078861429451"/>
          <c:h val="5.4612032719211064E-2"/>
        </c:manualLayout>
      </c:layout>
      <c:overlay val="0"/>
      <c:spPr>
        <a:noFill/>
        <a:ln w="25400">
          <a:noFill/>
        </a:ln>
      </c:spPr>
      <c:txPr>
        <a:bodyPr/>
        <a:lstStyle/>
        <a:p>
          <a:pPr>
            <a:defRPr sz="1100" b="0" i="0" u="none" strike="noStrike" baseline="0">
              <a:solidFill>
                <a:srgbClr val="000000"/>
              </a:solidFill>
              <a:latin typeface="+mn-lt"/>
              <a:ea typeface="Arial"/>
              <a:cs typeface="Arial"/>
            </a:defRPr>
          </a:pPr>
          <a:endParaRPr lang="it-IT"/>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it-I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it-IT" sz="1050"/>
              <a:t>Stima degli andamenti 2015 -2018</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Foglio1!$B$1</c:f>
              <c:strCache>
                <c:ptCount val="1"/>
                <c:pt idx="0">
                  <c:v>2015</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COMPRAVENDITE</c:v>
                </c:pt>
                <c:pt idx="2">
                  <c:v>PREZZI MEDI</c:v>
                </c:pt>
              </c:strCache>
            </c:strRef>
          </c:cat>
          <c:val>
            <c:numRef>
              <c:f>Foglio1!$B$2:$B$4</c:f>
              <c:numCache>
                <c:formatCode>General</c:formatCode>
                <c:ptCount val="3"/>
                <c:pt idx="0">
                  <c:v>4.5</c:v>
                </c:pt>
                <c:pt idx="2">
                  <c:v>-3</c:v>
                </c:pt>
              </c:numCache>
            </c:numRef>
          </c:val>
        </c:ser>
        <c:ser>
          <c:idx val="1"/>
          <c:order val="1"/>
          <c:tx>
            <c:strRef>
              <c:f>Foglio1!$C$1</c:f>
              <c:strCache>
                <c:ptCount val="1"/>
                <c:pt idx="0">
                  <c:v>2016</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COMPRAVENDITE</c:v>
                </c:pt>
                <c:pt idx="2">
                  <c:v>PREZZI MEDI</c:v>
                </c:pt>
              </c:strCache>
            </c:strRef>
          </c:cat>
          <c:val>
            <c:numRef>
              <c:f>Foglio1!$C$2:$C$4</c:f>
              <c:numCache>
                <c:formatCode>General</c:formatCode>
                <c:ptCount val="3"/>
                <c:pt idx="0">
                  <c:v>4.8</c:v>
                </c:pt>
                <c:pt idx="2">
                  <c:v>-2.4</c:v>
                </c:pt>
              </c:numCache>
            </c:numRef>
          </c:val>
        </c:ser>
        <c:ser>
          <c:idx val="2"/>
          <c:order val="2"/>
          <c:tx>
            <c:strRef>
              <c:f>Foglio1!$D$1</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COMPRAVENDITE</c:v>
                </c:pt>
                <c:pt idx="2">
                  <c:v>PREZZI MEDI</c:v>
                </c:pt>
              </c:strCache>
            </c:strRef>
          </c:cat>
          <c:val>
            <c:numRef>
              <c:f>Foglio1!$D$2:$D$4</c:f>
              <c:numCache>
                <c:formatCode>General</c:formatCode>
                <c:ptCount val="3"/>
                <c:pt idx="0">
                  <c:v>8.6999999999999993</c:v>
                </c:pt>
                <c:pt idx="2">
                  <c:v>-2.9</c:v>
                </c:pt>
              </c:numCache>
            </c:numRef>
          </c:val>
        </c:ser>
        <c:ser>
          <c:idx val="3"/>
          <c:order val="3"/>
          <c:tx>
            <c:strRef>
              <c:f>Foglio1!$E$1</c:f>
              <c:strCache>
                <c:ptCount val="1"/>
                <c:pt idx="0">
                  <c:v>2018</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COMPRAVENDITE</c:v>
                </c:pt>
                <c:pt idx="2">
                  <c:v>PREZZI MEDI</c:v>
                </c:pt>
              </c:strCache>
            </c:strRef>
          </c:cat>
          <c:val>
            <c:numRef>
              <c:f>Foglio1!$E$2:$E$4</c:f>
              <c:numCache>
                <c:formatCode>General</c:formatCode>
                <c:ptCount val="3"/>
                <c:pt idx="0">
                  <c:v>5.9</c:v>
                </c:pt>
                <c:pt idx="2">
                  <c:v>5.5</c:v>
                </c:pt>
              </c:numCache>
            </c:numRef>
          </c:val>
        </c:ser>
        <c:dLbls>
          <c:showLegendKey val="0"/>
          <c:showVal val="1"/>
          <c:showCatName val="0"/>
          <c:showSerName val="0"/>
          <c:showPercent val="0"/>
          <c:showBubbleSize val="0"/>
        </c:dLbls>
        <c:gapWidth val="65"/>
        <c:axId val="403576416"/>
        <c:axId val="403576808"/>
      </c:barChart>
      <c:catAx>
        <c:axId val="4035764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1" i="0" u="none" strike="noStrike" kern="1200" cap="all" baseline="0">
                <a:solidFill>
                  <a:sysClr val="windowText" lastClr="000000"/>
                </a:solidFill>
                <a:latin typeface="+mn-lt"/>
                <a:ea typeface="+mn-ea"/>
                <a:cs typeface="+mn-cs"/>
              </a:defRPr>
            </a:pPr>
            <a:endParaRPr lang="it-IT"/>
          </a:p>
        </c:txPr>
        <c:crossAx val="403576808"/>
        <c:crosses val="autoZero"/>
        <c:auto val="1"/>
        <c:lblAlgn val="ctr"/>
        <c:lblOffset val="100"/>
        <c:noMultiLvlLbl val="0"/>
      </c:catAx>
      <c:valAx>
        <c:axId val="403576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035764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Foglio1!$B$1</c:f>
              <c:strCache>
                <c:ptCount val="1"/>
                <c:pt idx="0">
                  <c:v>2014</c:v>
                </c:pt>
              </c:strCache>
            </c:strRef>
          </c:tx>
          <c:spPr>
            <a:solidFill>
              <a:schemeClr val="accent1">
                <a:alpha val="85000"/>
              </a:schemeClr>
            </a:solidFill>
            <a:ln w="9525" cap="flat" cmpd="sng" algn="ctr">
              <a:solidFill>
                <a:schemeClr val="lt1">
                  <a:alpha val="50000"/>
                </a:schemeClr>
              </a:solidFill>
              <a:round/>
            </a:ln>
            <a:effectLst/>
          </c:spPr>
          <c:invertIfNegative val="0"/>
          <c:dLbls>
            <c:dLbl>
              <c:idx val="2"/>
              <c:layout>
                <c:manualLayout>
                  <c:x val="-2.6764345458515477E-2"/>
                  <c:y val="1.396160558464223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5.9298156491049865E-2"/>
                  <c:y val="1.0471204188481676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Foglio1!$A$2:$A$10</c:f>
              <c:strCache>
                <c:ptCount val="9"/>
                <c:pt idx="0">
                  <c:v>Euro Area</c:v>
                </c:pt>
                <c:pt idx="1">
                  <c:v>USA</c:v>
                </c:pt>
                <c:pt idx="2">
                  <c:v>Giappone</c:v>
                </c:pt>
                <c:pt idx="3">
                  <c:v>Turchia</c:v>
                </c:pt>
                <c:pt idx="4">
                  <c:v>Svizzera</c:v>
                </c:pt>
                <c:pt idx="5">
                  <c:v>Spagna</c:v>
                </c:pt>
                <c:pt idx="6">
                  <c:v>Germania</c:v>
                </c:pt>
                <c:pt idx="7">
                  <c:v>Francia</c:v>
                </c:pt>
                <c:pt idx="8">
                  <c:v>Italia</c:v>
                </c:pt>
              </c:strCache>
            </c:strRef>
          </c:cat>
          <c:val>
            <c:numRef>
              <c:f>Foglio1!$B$2:$B$10</c:f>
              <c:numCache>
                <c:formatCode>General</c:formatCode>
                <c:ptCount val="9"/>
                <c:pt idx="0">
                  <c:v>0.2</c:v>
                </c:pt>
                <c:pt idx="1">
                  <c:v>4</c:v>
                </c:pt>
                <c:pt idx="2">
                  <c:v>-0.4</c:v>
                </c:pt>
                <c:pt idx="3">
                  <c:v>7</c:v>
                </c:pt>
                <c:pt idx="4">
                  <c:v>1.6</c:v>
                </c:pt>
                <c:pt idx="5">
                  <c:v>0.1</c:v>
                </c:pt>
                <c:pt idx="6">
                  <c:v>4.0999999999999996</c:v>
                </c:pt>
                <c:pt idx="7">
                  <c:v>-1.8</c:v>
                </c:pt>
                <c:pt idx="8">
                  <c:v>-4.5999999999999996</c:v>
                </c:pt>
              </c:numCache>
            </c:numRef>
          </c:val>
        </c:ser>
        <c:ser>
          <c:idx val="1"/>
          <c:order val="1"/>
          <c:tx>
            <c:strRef>
              <c:f>Foglio1!$C$1</c:f>
              <c:strCache>
                <c:ptCount val="1"/>
                <c:pt idx="0">
                  <c:v>2015 (2° trimestre)</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Foglio1!$A$2:$A$10</c:f>
              <c:strCache>
                <c:ptCount val="9"/>
                <c:pt idx="0">
                  <c:v>Euro Area</c:v>
                </c:pt>
                <c:pt idx="1">
                  <c:v>USA</c:v>
                </c:pt>
                <c:pt idx="2">
                  <c:v>Giappone</c:v>
                </c:pt>
                <c:pt idx="3">
                  <c:v>Turchia</c:v>
                </c:pt>
                <c:pt idx="4">
                  <c:v>Svizzera</c:v>
                </c:pt>
                <c:pt idx="5">
                  <c:v>Spagna</c:v>
                </c:pt>
                <c:pt idx="6">
                  <c:v>Germania</c:v>
                </c:pt>
                <c:pt idx="7">
                  <c:v>Francia</c:v>
                </c:pt>
                <c:pt idx="8">
                  <c:v>Italia</c:v>
                </c:pt>
              </c:strCache>
            </c:strRef>
          </c:cat>
          <c:val>
            <c:numRef>
              <c:f>Foglio1!$C$2:$C$10</c:f>
              <c:numCache>
                <c:formatCode>General</c:formatCode>
                <c:ptCount val="9"/>
                <c:pt idx="0">
                  <c:v>0.4</c:v>
                </c:pt>
                <c:pt idx="1">
                  <c:v>4.2</c:v>
                </c:pt>
                <c:pt idx="2">
                  <c:v>2.6</c:v>
                </c:pt>
                <c:pt idx="3">
                  <c:v>7.1</c:v>
                </c:pt>
                <c:pt idx="4">
                  <c:v>2.6</c:v>
                </c:pt>
                <c:pt idx="5">
                  <c:v>3.7</c:v>
                </c:pt>
                <c:pt idx="6">
                  <c:v>3.3</c:v>
                </c:pt>
                <c:pt idx="7">
                  <c:v>-3.1</c:v>
                </c:pt>
                <c:pt idx="8">
                  <c:v>-3.3</c:v>
                </c:pt>
              </c:numCache>
            </c:numRef>
          </c:val>
        </c:ser>
        <c:dLbls>
          <c:dLblPos val="inEnd"/>
          <c:showLegendKey val="0"/>
          <c:showVal val="1"/>
          <c:showCatName val="0"/>
          <c:showSerName val="0"/>
          <c:showPercent val="0"/>
          <c:showBubbleSize val="0"/>
        </c:dLbls>
        <c:gapWidth val="65"/>
        <c:axId val="403577592"/>
        <c:axId val="455868032"/>
      </c:barChart>
      <c:catAx>
        <c:axId val="4035775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it-IT"/>
          </a:p>
        </c:txPr>
        <c:crossAx val="455868032"/>
        <c:crosses val="autoZero"/>
        <c:auto val="1"/>
        <c:lblAlgn val="ctr"/>
        <c:lblOffset val="100"/>
        <c:noMultiLvlLbl val="0"/>
      </c:catAx>
      <c:valAx>
        <c:axId val="4558680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crossAx val="4035775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it-IT" sz="1050"/>
              <a:t>REI Index Residenziale - Compravendite e Valori</a:t>
            </a:r>
          </a:p>
        </c:rich>
      </c:tx>
      <c:overlay val="0"/>
      <c:spPr>
        <a:noFill/>
        <a:ln>
          <a:noFill/>
        </a:ln>
        <a:effectLst/>
      </c:spPr>
    </c:title>
    <c:autoTitleDeleted val="0"/>
    <c:plotArea>
      <c:layout/>
      <c:lineChart>
        <c:grouping val="standard"/>
        <c:varyColors val="0"/>
        <c:ser>
          <c:idx val="0"/>
          <c:order val="0"/>
          <c:tx>
            <c:strRef>
              <c:f>Foglio1!$B$1</c:f>
              <c:strCache>
                <c:ptCount val="1"/>
                <c:pt idx="0">
                  <c:v>Compravendite nuovo</c:v>
                </c:pt>
              </c:strCache>
            </c:strRef>
          </c:tx>
          <c:spPr>
            <a:ln w="31750" cap="rnd">
              <a:solidFill>
                <a:schemeClr val="accent1">
                  <a:lumMod val="75000"/>
                </a:schemeClr>
              </a:solidFill>
              <a:round/>
            </a:ln>
            <a:effectLst/>
          </c:spPr>
          <c:marker>
            <c:symbol val="circle"/>
            <c:size val="17"/>
            <c:spPr>
              <a:solidFill>
                <a:schemeClr val="accent1">
                  <a:lumMod val="75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Foglio1!$B$2:$B$3</c:f>
              <c:numCache>
                <c:formatCode>General</c:formatCode>
                <c:ptCount val="2"/>
                <c:pt idx="0">
                  <c:v>54.5</c:v>
                </c:pt>
                <c:pt idx="1">
                  <c:v>73.400000000000006</c:v>
                </c:pt>
              </c:numCache>
            </c:numRef>
          </c:val>
          <c:smooth val="0"/>
        </c:ser>
        <c:ser>
          <c:idx val="1"/>
          <c:order val="1"/>
          <c:tx>
            <c:strRef>
              <c:f>Foglio1!$C$1</c:f>
              <c:strCache>
                <c:ptCount val="1"/>
                <c:pt idx="0">
                  <c:v>Valori nuovo</c:v>
                </c:pt>
              </c:strCache>
            </c:strRef>
          </c:tx>
          <c:spPr>
            <a:ln w="31750" cap="rnd">
              <a:solidFill>
                <a:schemeClr val="accent2">
                  <a:lumMod val="75000"/>
                </a:schemeClr>
              </a:solidFill>
              <a:round/>
            </a:ln>
            <a:effectLst/>
          </c:spPr>
          <c:marker>
            <c:symbol val="circle"/>
            <c:size val="17"/>
            <c:spPr>
              <a:solidFill>
                <a:schemeClr val="accent2">
                  <a:lumMod val="75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Foglio1!$C$2:$C$3</c:f>
              <c:numCache>
                <c:formatCode>General</c:formatCode>
                <c:ptCount val="2"/>
                <c:pt idx="0">
                  <c:v>50.9</c:v>
                </c:pt>
                <c:pt idx="1">
                  <c:v>69.099999999999994</c:v>
                </c:pt>
              </c:numCache>
            </c:numRef>
          </c:val>
          <c:smooth val="0"/>
        </c:ser>
        <c:ser>
          <c:idx val="2"/>
          <c:order val="2"/>
          <c:tx>
            <c:strRef>
              <c:f>Foglio1!$D$1</c:f>
              <c:strCache>
                <c:ptCount val="1"/>
                <c:pt idx="0">
                  <c:v>Compravendite usato</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Foglio1!$D$2:$D$3</c:f>
              <c:numCache>
                <c:formatCode>General</c:formatCode>
                <c:ptCount val="2"/>
                <c:pt idx="0">
                  <c:v>75.599999999999994</c:v>
                </c:pt>
                <c:pt idx="1">
                  <c:v>77.8</c:v>
                </c:pt>
              </c:numCache>
            </c:numRef>
          </c:val>
          <c:smooth val="0"/>
        </c:ser>
        <c:ser>
          <c:idx val="3"/>
          <c:order val="3"/>
          <c:tx>
            <c:strRef>
              <c:f>Foglio1!$E$1</c:f>
              <c:strCache>
                <c:ptCount val="1"/>
                <c:pt idx="0">
                  <c:v>Valori usato</c:v>
                </c:pt>
              </c:strCache>
            </c:strRef>
          </c:tx>
          <c:spPr>
            <a:ln w="31750" cap="rnd">
              <a:solidFill>
                <a:srgbClr val="FFC000"/>
              </a:solidFill>
              <a:round/>
            </a:ln>
            <a:effectLst/>
          </c:spPr>
          <c:marker>
            <c:symbol val="circle"/>
            <c:size val="17"/>
            <c:spPr>
              <a:solidFill>
                <a:srgbClr val="FFC000"/>
              </a:solidFill>
              <a:ln>
                <a:noFill/>
              </a:ln>
              <a:effectLst/>
            </c:spPr>
          </c:marker>
          <c:dLbls>
            <c:dLbl>
              <c:idx val="0"/>
              <c:layout>
                <c:manualLayout>
                  <c:x val="-5.5261610817166372E-2"/>
                  <c:y val="-2.0140986908358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Foglio1!$E$2:$E$3</c:f>
              <c:numCache>
                <c:formatCode>General</c:formatCode>
                <c:ptCount val="2"/>
                <c:pt idx="0">
                  <c:v>56.2</c:v>
                </c:pt>
                <c:pt idx="1">
                  <c:v>64.2</c:v>
                </c:pt>
              </c:numCache>
            </c:numRef>
          </c:val>
          <c:smooth val="0"/>
        </c:ser>
        <c:dLbls>
          <c:dLblPos val="ctr"/>
          <c:showLegendKey val="0"/>
          <c:showVal val="1"/>
          <c:showCatName val="0"/>
          <c:showSerName val="0"/>
          <c:showPercent val="0"/>
          <c:showBubbleSize val="0"/>
        </c:dLbls>
        <c:marker val="1"/>
        <c:smooth val="0"/>
        <c:axId val="455868816"/>
        <c:axId val="455869208"/>
      </c:lineChart>
      <c:catAx>
        <c:axId val="455868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455869208"/>
        <c:crosses val="autoZero"/>
        <c:auto val="1"/>
        <c:lblAlgn val="ctr"/>
        <c:lblOffset val="100"/>
        <c:noMultiLvlLbl val="0"/>
      </c:catAx>
      <c:valAx>
        <c:axId val="455869208"/>
        <c:scaling>
          <c:orientation val="minMax"/>
          <c:min val="4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58688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bg2">
          <a:lumMod val="75000"/>
        </a:schemeClr>
      </a:solidFill>
      <a:round/>
    </a:ln>
    <a:effectLst/>
  </c:spPr>
  <c:txPr>
    <a:bodyPr/>
    <a:lstStyle/>
    <a:p>
      <a:pPr>
        <a:defRPr/>
      </a:pPr>
      <a:endParaRPr lang="it-I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t-IT" sz="1050"/>
              <a:t>REI Index Residenziale Nuovo compravendite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Foglio1!$B$1</c:f>
              <c:strCache>
                <c:ptCount val="1"/>
                <c:pt idx="0">
                  <c:v>Nord</c:v>
                </c:pt>
              </c:strCache>
            </c:strRef>
          </c:tx>
          <c:spPr>
            <a:solidFill>
              <a:srgbClr val="FFC00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Foglio1!$B$2:$B$3</c:f>
              <c:numCache>
                <c:formatCode>General</c:formatCode>
                <c:ptCount val="2"/>
                <c:pt idx="0">
                  <c:v>56.5</c:v>
                </c:pt>
                <c:pt idx="1">
                  <c:v>73.099999999999994</c:v>
                </c:pt>
              </c:numCache>
            </c:numRef>
          </c:val>
        </c:ser>
        <c:ser>
          <c:idx val="1"/>
          <c:order val="1"/>
          <c:tx>
            <c:strRef>
              <c:f>Foglio1!$C$1</c:f>
              <c:strCache>
                <c:ptCount val="1"/>
                <c:pt idx="0">
                  <c:v>Centro</c:v>
                </c:pt>
              </c:strCache>
            </c:strRef>
          </c:tx>
          <c:spPr>
            <a:solidFill>
              <a:srgbClr val="5B9BD5">
                <a:alpha val="85000"/>
              </a:srgb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Foglio1!$C$2:$C$3</c:f>
              <c:numCache>
                <c:formatCode>General</c:formatCode>
                <c:ptCount val="2"/>
                <c:pt idx="0">
                  <c:v>50</c:v>
                </c:pt>
                <c:pt idx="1">
                  <c:v>73.3</c:v>
                </c:pt>
              </c:numCache>
            </c:numRef>
          </c:val>
        </c:ser>
        <c:ser>
          <c:idx val="2"/>
          <c:order val="2"/>
          <c:tx>
            <c:strRef>
              <c:f>Foglio1!$D$1</c:f>
              <c:strCache>
                <c:ptCount val="1"/>
                <c:pt idx="0">
                  <c:v>Sud</c:v>
                </c:pt>
              </c:strCache>
            </c:strRef>
          </c:tx>
          <c:spPr>
            <a:solidFill>
              <a:srgbClr val="A5A5A5">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Foglio1!$D$2:$D$3</c:f>
              <c:numCache>
                <c:formatCode>General</c:formatCode>
                <c:ptCount val="2"/>
                <c:pt idx="0">
                  <c:v>54.9</c:v>
                </c:pt>
                <c:pt idx="1">
                  <c:v>73.8</c:v>
                </c:pt>
              </c:numCache>
            </c:numRef>
          </c:val>
        </c:ser>
        <c:ser>
          <c:idx val="3"/>
          <c:order val="3"/>
          <c:tx>
            <c:strRef>
              <c:f>Foglio1!$E$1</c:f>
              <c:strCache>
                <c:ptCount val="1"/>
                <c:pt idx="0">
                  <c:v>Italia</c:v>
                </c:pt>
              </c:strCache>
            </c:strRef>
          </c:tx>
          <c:spPr>
            <a:solidFill>
              <a:srgbClr val="ED7D31">
                <a:alpha val="85000"/>
              </a:srgbClr>
            </a:solidFill>
            <a:ln w="9525" cap="flat" cmpd="sng" algn="ctr">
              <a:solidFill>
                <a:schemeClr val="lt1">
                  <a:alpha val="50000"/>
                </a:schemeClr>
              </a:solidFill>
              <a:round/>
            </a:ln>
            <a:effectLst/>
          </c:spPr>
          <c:invertIfNegative val="0"/>
          <c:dPt>
            <c:idx val="0"/>
            <c:invertIfNegative val="0"/>
            <c:bubble3D val="0"/>
          </c:dPt>
          <c:dPt>
            <c:idx val="1"/>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Foglio1!$E$2:$E$3</c:f>
              <c:numCache>
                <c:formatCode>General</c:formatCode>
                <c:ptCount val="2"/>
                <c:pt idx="0">
                  <c:v>54.5</c:v>
                </c:pt>
                <c:pt idx="1">
                  <c:v>73.400000000000006</c:v>
                </c:pt>
              </c:numCache>
            </c:numRef>
          </c:val>
        </c:ser>
        <c:dLbls>
          <c:dLblPos val="inEnd"/>
          <c:showLegendKey val="0"/>
          <c:showVal val="1"/>
          <c:showCatName val="0"/>
          <c:showSerName val="0"/>
          <c:showPercent val="0"/>
          <c:showBubbleSize val="0"/>
        </c:dLbls>
        <c:gapWidth val="65"/>
        <c:axId val="460988096"/>
        <c:axId val="460988488"/>
      </c:barChart>
      <c:catAx>
        <c:axId val="4609880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460988488"/>
        <c:crosses val="autoZero"/>
        <c:auto val="1"/>
        <c:lblAlgn val="ctr"/>
        <c:lblOffset val="100"/>
        <c:noMultiLvlLbl val="0"/>
      </c:catAx>
      <c:valAx>
        <c:axId val="460988488"/>
        <c:scaling>
          <c:orientation val="minMax"/>
          <c:min val="4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09880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t-IT" sz="1050"/>
              <a:t>REI Index Residenziale Nuovo Valori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Foglio1!$B$1</c:f>
              <c:strCache>
                <c:ptCount val="1"/>
                <c:pt idx="0">
                  <c:v>Nord </c:v>
                </c:pt>
              </c:strCache>
            </c:strRef>
          </c:tx>
          <c:spPr>
            <a:solidFill>
              <a:srgbClr val="FFC00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Foglio1!$B$2:$B$3</c:f>
              <c:numCache>
                <c:formatCode>General</c:formatCode>
                <c:ptCount val="2"/>
                <c:pt idx="0">
                  <c:v>52.8</c:v>
                </c:pt>
                <c:pt idx="1">
                  <c:v>71.099999999999994</c:v>
                </c:pt>
              </c:numCache>
            </c:numRef>
          </c:val>
        </c:ser>
        <c:ser>
          <c:idx val="1"/>
          <c:order val="1"/>
          <c:tx>
            <c:strRef>
              <c:f>Foglio1!$C$1</c:f>
              <c:strCache>
                <c:ptCount val="1"/>
                <c:pt idx="0">
                  <c:v>Centro</c:v>
                </c:pt>
              </c:strCache>
            </c:strRef>
          </c:tx>
          <c:spPr>
            <a:solidFill>
              <a:srgbClr val="5B9BD5">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Foglio1!$C$2:$C$3</c:f>
              <c:numCache>
                <c:formatCode>General</c:formatCode>
                <c:ptCount val="2"/>
                <c:pt idx="0">
                  <c:v>51.8</c:v>
                </c:pt>
                <c:pt idx="1">
                  <c:v>62.5</c:v>
                </c:pt>
              </c:numCache>
            </c:numRef>
          </c:val>
        </c:ser>
        <c:ser>
          <c:idx val="2"/>
          <c:order val="2"/>
          <c:tx>
            <c:strRef>
              <c:f>Foglio1!$D$1</c:f>
              <c:strCache>
                <c:ptCount val="1"/>
                <c:pt idx="0">
                  <c:v>Sud</c:v>
                </c:pt>
              </c:strCache>
            </c:strRef>
          </c:tx>
          <c:spPr>
            <a:solidFill>
              <a:srgbClr val="A5A5A5">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Foglio1!$D$2:$D$3</c:f>
              <c:numCache>
                <c:formatCode>General</c:formatCode>
                <c:ptCount val="2"/>
                <c:pt idx="0">
                  <c:v>47.6</c:v>
                </c:pt>
                <c:pt idx="1">
                  <c:v>71.3</c:v>
                </c:pt>
              </c:numCache>
            </c:numRef>
          </c:val>
        </c:ser>
        <c:ser>
          <c:idx val="3"/>
          <c:order val="3"/>
          <c:tx>
            <c:strRef>
              <c:f>Foglio1!$E$1</c:f>
              <c:strCache>
                <c:ptCount val="1"/>
                <c:pt idx="0">
                  <c:v>Italia</c:v>
                </c:pt>
              </c:strCache>
            </c:strRef>
          </c:tx>
          <c:spPr>
            <a:solidFill>
              <a:srgbClr val="ED7D31">
                <a:alpha val="85000"/>
              </a:srgbClr>
            </a:solidFill>
            <a:ln w="9525" cap="flat" cmpd="sng" algn="ctr">
              <a:solidFill>
                <a:schemeClr val="lt1">
                  <a:alpha val="50000"/>
                </a:schemeClr>
              </a:solidFill>
              <a:round/>
            </a:ln>
            <a:effectLst/>
          </c:spPr>
          <c:invertIfNegative val="0"/>
          <c:dLbls>
            <c:dLbl>
              <c:idx val="0"/>
              <c:tx>
                <c:rich>
                  <a:bodyPr/>
                  <a:lstStyle/>
                  <a:p>
                    <a:r>
                      <a:rPr lang="en-US"/>
                      <a:t>50,9</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69,1</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Foglio1!$A$2:$A$3</c:f>
              <c:numCache>
                <c:formatCode>General</c:formatCode>
                <c:ptCount val="2"/>
                <c:pt idx="0">
                  <c:v>2016</c:v>
                </c:pt>
                <c:pt idx="1">
                  <c:v>2018</c:v>
                </c:pt>
              </c:numCache>
            </c:numRef>
          </c:cat>
          <c:val>
            <c:numRef>
              <c:f>Foglio1!$E$2:$E$3</c:f>
              <c:numCache>
                <c:formatCode>General</c:formatCode>
                <c:ptCount val="2"/>
                <c:pt idx="0">
                  <c:v>50.8</c:v>
                </c:pt>
                <c:pt idx="1">
                  <c:v>69.2</c:v>
                </c:pt>
              </c:numCache>
            </c:numRef>
          </c:val>
        </c:ser>
        <c:dLbls>
          <c:dLblPos val="inEnd"/>
          <c:showLegendKey val="0"/>
          <c:showVal val="1"/>
          <c:showCatName val="0"/>
          <c:showSerName val="0"/>
          <c:showPercent val="0"/>
          <c:showBubbleSize val="0"/>
        </c:dLbls>
        <c:gapWidth val="65"/>
        <c:axId val="460989272"/>
        <c:axId val="463917872"/>
      </c:barChart>
      <c:catAx>
        <c:axId val="4609892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463917872"/>
        <c:crosses val="autoZero"/>
        <c:auto val="1"/>
        <c:lblAlgn val="ctr"/>
        <c:lblOffset val="100"/>
        <c:noMultiLvlLbl val="0"/>
      </c:catAx>
      <c:valAx>
        <c:axId val="4639178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09892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it-IT" sz="1050"/>
              <a:t>REI Index Residenziale Nuovo</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Foglio1!$B$1</c:f>
              <c:strCache>
                <c:ptCount val="1"/>
                <c:pt idx="0">
                  <c:v>Aree metropolitane</c:v>
                </c:pt>
              </c:strCache>
            </c:strRef>
          </c:tx>
          <c:spPr>
            <a:solidFill>
              <a:srgbClr val="FFC00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Foglio1!$A$2:$A$5</c:f>
              <c:strCache>
                <c:ptCount val="4"/>
                <c:pt idx="0">
                  <c:v>Vendite 2016</c:v>
                </c:pt>
                <c:pt idx="1">
                  <c:v>Vendite 2018</c:v>
                </c:pt>
                <c:pt idx="2">
                  <c:v>Valori 2016</c:v>
                </c:pt>
                <c:pt idx="3">
                  <c:v>Valori 2018</c:v>
                </c:pt>
              </c:strCache>
            </c:strRef>
          </c:cat>
          <c:val>
            <c:numRef>
              <c:f>Foglio1!$B$2:$B$5</c:f>
              <c:numCache>
                <c:formatCode>General</c:formatCode>
                <c:ptCount val="4"/>
                <c:pt idx="0">
                  <c:v>58.9</c:v>
                </c:pt>
                <c:pt idx="1">
                  <c:v>77.8</c:v>
                </c:pt>
                <c:pt idx="2">
                  <c:v>57.2</c:v>
                </c:pt>
                <c:pt idx="3">
                  <c:v>77.8</c:v>
                </c:pt>
              </c:numCache>
            </c:numRef>
          </c:val>
        </c:ser>
        <c:ser>
          <c:idx val="1"/>
          <c:order val="1"/>
          <c:tx>
            <c:strRef>
              <c:f>Foglio1!$C$1</c:f>
              <c:strCache>
                <c:ptCount val="1"/>
                <c:pt idx="0">
                  <c:v>Altre città</c:v>
                </c:pt>
              </c:strCache>
            </c:strRef>
          </c:tx>
          <c:spPr>
            <a:solidFill>
              <a:srgbClr val="5B9BD5">
                <a:alpha val="85000"/>
              </a:srgb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Foglio1!$A$2:$A$5</c:f>
              <c:strCache>
                <c:ptCount val="4"/>
                <c:pt idx="0">
                  <c:v>Vendite 2016</c:v>
                </c:pt>
                <c:pt idx="1">
                  <c:v>Vendite 2018</c:v>
                </c:pt>
                <c:pt idx="2">
                  <c:v>Valori 2016</c:v>
                </c:pt>
                <c:pt idx="3">
                  <c:v>Valori 2018</c:v>
                </c:pt>
              </c:strCache>
            </c:strRef>
          </c:cat>
          <c:val>
            <c:numRef>
              <c:f>Foglio1!$C$2:$C$5</c:f>
              <c:numCache>
                <c:formatCode>General</c:formatCode>
                <c:ptCount val="4"/>
                <c:pt idx="0">
                  <c:v>53.2</c:v>
                </c:pt>
                <c:pt idx="1">
                  <c:v>72</c:v>
                </c:pt>
                <c:pt idx="2">
                  <c:v>49</c:v>
                </c:pt>
                <c:pt idx="3">
                  <c:v>66.7</c:v>
                </c:pt>
              </c:numCache>
            </c:numRef>
          </c:val>
        </c:ser>
        <c:ser>
          <c:idx val="2"/>
          <c:order val="2"/>
          <c:tx>
            <c:strRef>
              <c:f>Foglio1!$D$1</c:f>
              <c:strCache>
                <c:ptCount val="1"/>
                <c:pt idx="0">
                  <c:v>Italia</c:v>
                </c:pt>
              </c:strCache>
            </c:strRef>
          </c:tx>
          <c:spPr>
            <a:solidFill>
              <a:srgbClr val="A5A5A5">
                <a:alpha val="85000"/>
              </a:srgbClr>
            </a:solidFill>
            <a:ln w="9525" cap="flat" cmpd="sng" algn="ctr">
              <a:solidFill>
                <a:schemeClr val="lt1">
                  <a:alpha val="50000"/>
                </a:schemeClr>
              </a:solidFill>
              <a:round/>
            </a:ln>
            <a:effectLst/>
          </c:spPr>
          <c:invertIfNegative val="0"/>
          <c:dLbls>
            <c:dLbl>
              <c:idx val="2"/>
              <c:tx>
                <c:rich>
                  <a:bodyPr/>
                  <a:lstStyle/>
                  <a:p>
                    <a:r>
                      <a:rPr lang="en-US"/>
                      <a:t>50,9</a:t>
                    </a:r>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69,1</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Foglio1!$A$2:$A$5</c:f>
              <c:strCache>
                <c:ptCount val="4"/>
                <c:pt idx="0">
                  <c:v>Vendite 2016</c:v>
                </c:pt>
                <c:pt idx="1">
                  <c:v>Vendite 2018</c:v>
                </c:pt>
                <c:pt idx="2">
                  <c:v>Valori 2016</c:v>
                </c:pt>
                <c:pt idx="3">
                  <c:v>Valori 2018</c:v>
                </c:pt>
              </c:strCache>
            </c:strRef>
          </c:cat>
          <c:val>
            <c:numRef>
              <c:f>Foglio1!$D$2:$D$5</c:f>
              <c:numCache>
                <c:formatCode>General</c:formatCode>
                <c:ptCount val="4"/>
                <c:pt idx="0">
                  <c:v>54.5</c:v>
                </c:pt>
                <c:pt idx="1">
                  <c:v>73.400000000000006</c:v>
                </c:pt>
                <c:pt idx="2">
                  <c:v>50.8</c:v>
                </c:pt>
                <c:pt idx="3">
                  <c:v>69.2</c:v>
                </c:pt>
              </c:numCache>
            </c:numRef>
          </c:val>
        </c:ser>
        <c:dLbls>
          <c:dLblPos val="inEnd"/>
          <c:showLegendKey val="0"/>
          <c:showVal val="1"/>
          <c:showCatName val="0"/>
          <c:showSerName val="0"/>
          <c:showPercent val="0"/>
          <c:showBubbleSize val="0"/>
        </c:dLbls>
        <c:gapWidth val="65"/>
        <c:axId val="463918656"/>
        <c:axId val="463919048"/>
      </c:barChart>
      <c:catAx>
        <c:axId val="4639186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463919048"/>
        <c:crosses val="autoZero"/>
        <c:auto val="1"/>
        <c:lblAlgn val="ctr"/>
        <c:lblOffset val="100"/>
        <c:noMultiLvlLbl val="0"/>
      </c:catAx>
      <c:valAx>
        <c:axId val="4639190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39186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baseline="0"/>
            </a:pPr>
            <a:r>
              <a:rPr lang="it-IT" sz="1200" b="0" i="0" cap="all" baseline="0"/>
              <a:t>Variazioni valori medi mercato residenziale</a:t>
            </a:r>
          </a:p>
        </c:rich>
      </c:tx>
      <c:overlay val="1"/>
      <c:spPr>
        <a:solidFill>
          <a:schemeClr val="bg1"/>
        </a:solidFill>
        <a:ln>
          <a:solidFill>
            <a:schemeClr val="tx1"/>
          </a:solidFill>
        </a:ln>
      </c:spPr>
    </c:title>
    <c:autoTitleDeleted val="0"/>
    <c:plotArea>
      <c:layout>
        <c:manualLayout>
          <c:layoutTarget val="inner"/>
          <c:xMode val="edge"/>
          <c:yMode val="edge"/>
          <c:x val="9.3002405949256337E-2"/>
          <c:y val="5.1400554097404488E-2"/>
          <c:w val="0.87644203849518809"/>
          <c:h val="0.70916666666666661"/>
        </c:manualLayout>
      </c:layout>
      <c:lineChart>
        <c:grouping val="standard"/>
        <c:varyColors val="0"/>
        <c:ser>
          <c:idx val="0"/>
          <c:order val="0"/>
          <c:tx>
            <c:strRef>
              <c:f>'Variaz val medi resid.'!$A$11</c:f>
              <c:strCache>
                <c:ptCount val="1"/>
                <c:pt idx="0">
                  <c:v>Res. Centrale Città Metropol.</c:v>
                </c:pt>
              </c:strCache>
            </c:strRef>
          </c:tx>
          <c:spPr>
            <a:ln>
              <a:solidFill>
                <a:srgbClr val="5B9BD5"/>
              </a:solidFill>
            </a:ln>
          </c:spPr>
          <c:marker>
            <c:symbol val="circle"/>
            <c:size val="7"/>
            <c:spPr>
              <a:solidFill>
                <a:srgbClr val="FFC000">
                  <a:lumMod val="50000"/>
                </a:srgbClr>
              </a:solidFill>
            </c:spPr>
          </c:marker>
          <c:dLbls>
            <c:dLbl>
              <c:idx val="0"/>
              <c:layout>
                <c:manualLayout>
                  <c:x val="-9.252120277563608E-2"/>
                  <c:y val="3.09501702259362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resid.'!$B$10:$C$10</c:f>
              <c:numCache>
                <c:formatCode>0</c:formatCode>
                <c:ptCount val="2"/>
                <c:pt idx="0">
                  <c:v>2016</c:v>
                </c:pt>
                <c:pt idx="1">
                  <c:v>2018</c:v>
                </c:pt>
              </c:numCache>
            </c:numRef>
          </c:cat>
          <c:val>
            <c:numRef>
              <c:f>'Variaz val medi resid.'!$B$11:$C$11</c:f>
              <c:numCache>
                <c:formatCode>0.0</c:formatCode>
                <c:ptCount val="2"/>
                <c:pt idx="0">
                  <c:v>64.3</c:v>
                </c:pt>
                <c:pt idx="1">
                  <c:v>64</c:v>
                </c:pt>
              </c:numCache>
            </c:numRef>
          </c:val>
          <c:smooth val="0"/>
        </c:ser>
        <c:ser>
          <c:idx val="1"/>
          <c:order val="1"/>
          <c:tx>
            <c:strRef>
              <c:f>'Variaz val medi resid.'!$A$12</c:f>
              <c:strCache>
                <c:ptCount val="1"/>
                <c:pt idx="0">
                  <c:v>Res. Centrale Altre città</c:v>
                </c:pt>
              </c:strCache>
            </c:strRef>
          </c:tx>
          <c:spPr>
            <a:ln>
              <a:solidFill>
                <a:schemeClr val="accent1"/>
              </a:solidFill>
              <a:prstDash val="sysDash"/>
            </a:ln>
          </c:spPr>
          <c:marker>
            <c:symbol val="square"/>
            <c:size val="5"/>
            <c:spPr>
              <a:ln>
                <a:solidFill>
                  <a:schemeClr val="accent1"/>
                </a:solidFill>
              </a:ln>
            </c:spPr>
          </c:marker>
          <c:dPt>
            <c:idx val="1"/>
            <c:bubble3D val="0"/>
          </c:dPt>
          <c:dLbls>
            <c:spPr>
              <a:ln>
                <a:noFill/>
              </a:ln>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resid.'!$B$10:$C$10</c:f>
              <c:numCache>
                <c:formatCode>0</c:formatCode>
                <c:ptCount val="2"/>
                <c:pt idx="0">
                  <c:v>2016</c:v>
                </c:pt>
                <c:pt idx="1">
                  <c:v>2018</c:v>
                </c:pt>
              </c:numCache>
            </c:numRef>
          </c:cat>
          <c:val>
            <c:numRef>
              <c:f>'Variaz val medi resid.'!$B$12:$C$12</c:f>
              <c:numCache>
                <c:formatCode>0.0</c:formatCode>
                <c:ptCount val="2"/>
                <c:pt idx="0">
                  <c:v>54.8</c:v>
                </c:pt>
                <c:pt idx="1">
                  <c:v>71.400000000000006</c:v>
                </c:pt>
              </c:numCache>
            </c:numRef>
          </c:val>
          <c:smooth val="0"/>
        </c:ser>
        <c:ser>
          <c:idx val="2"/>
          <c:order val="2"/>
          <c:tx>
            <c:strRef>
              <c:f>'Variaz val medi resid.'!$A$13</c:f>
              <c:strCache>
                <c:ptCount val="1"/>
                <c:pt idx="0">
                  <c:v>Res. periferico Città Metropol.</c:v>
                </c:pt>
              </c:strCache>
            </c:strRef>
          </c:tx>
          <c:dLbls>
            <c:dLbl>
              <c:idx val="0"/>
              <c:layout>
                <c:manualLayout>
                  <c:x val="-9.251101856412054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resid.'!$B$10:$C$10</c:f>
              <c:numCache>
                <c:formatCode>0</c:formatCode>
                <c:ptCount val="2"/>
                <c:pt idx="0">
                  <c:v>2016</c:v>
                </c:pt>
                <c:pt idx="1">
                  <c:v>2018</c:v>
                </c:pt>
              </c:numCache>
            </c:numRef>
          </c:cat>
          <c:val>
            <c:numRef>
              <c:f>'Variaz val medi resid.'!$B$13:$C$13</c:f>
              <c:numCache>
                <c:formatCode>0.0</c:formatCode>
                <c:ptCount val="2"/>
                <c:pt idx="0">
                  <c:v>42.9</c:v>
                </c:pt>
                <c:pt idx="1">
                  <c:v>62</c:v>
                </c:pt>
              </c:numCache>
            </c:numRef>
          </c:val>
          <c:smooth val="0"/>
        </c:ser>
        <c:ser>
          <c:idx val="3"/>
          <c:order val="3"/>
          <c:tx>
            <c:strRef>
              <c:f>'Variaz val medi resid.'!$A$14</c:f>
              <c:strCache>
                <c:ptCount val="1"/>
                <c:pt idx="0">
                  <c:v>Res. Periferico Altre città</c:v>
                </c:pt>
              </c:strCache>
            </c:strRef>
          </c:tx>
          <c:spPr>
            <a:ln>
              <a:solidFill>
                <a:schemeClr val="accent3"/>
              </a:solidFill>
              <a:prstDash val="sysDash"/>
            </a:ln>
          </c:spPr>
          <c:dPt>
            <c:idx val="1"/>
            <c:marker>
              <c:symbol val="circle"/>
              <c:size val="7"/>
            </c:marker>
            <c:bubble3D val="0"/>
          </c:dPt>
          <c:dLbls>
            <c:dLbl>
              <c:idx val="0"/>
              <c:layout>
                <c:manualLayout>
                  <c:x val="-7.7092515470100445E-2"/>
                  <c:y val="4.64191013749313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resid.'!$B$10:$C$10</c:f>
              <c:numCache>
                <c:formatCode>0</c:formatCode>
                <c:ptCount val="2"/>
                <c:pt idx="0">
                  <c:v>2016</c:v>
                </c:pt>
                <c:pt idx="1">
                  <c:v>2018</c:v>
                </c:pt>
              </c:numCache>
            </c:numRef>
          </c:cat>
          <c:val>
            <c:numRef>
              <c:f>'Variaz val medi resid.'!$B$14:$C$14</c:f>
              <c:numCache>
                <c:formatCode>0.0</c:formatCode>
                <c:ptCount val="2"/>
                <c:pt idx="0">
                  <c:v>41.4</c:v>
                </c:pt>
                <c:pt idx="1">
                  <c:v>57.7</c:v>
                </c:pt>
              </c:numCache>
            </c:numRef>
          </c:val>
          <c:smooth val="0"/>
        </c:ser>
        <c:ser>
          <c:idx val="4"/>
          <c:order val="4"/>
          <c:tx>
            <c:strRef>
              <c:f>'Variaz val medi resid.'!$A$15</c:f>
              <c:strCache>
                <c:ptCount val="1"/>
                <c:pt idx="0">
                  <c:v>Res. Ultra- periferico Città Metropol.</c:v>
                </c:pt>
              </c:strCache>
            </c:strRef>
          </c:tx>
          <c:spPr>
            <a:ln>
              <a:solidFill>
                <a:schemeClr val="accent2"/>
              </a:solidFill>
              <a:prstDash val="solid"/>
              <a:headEnd type="oval"/>
              <a:tailEnd type="oval"/>
            </a:ln>
          </c:spPr>
          <c:dLbls>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resid.'!$B$10:$C$10</c:f>
              <c:numCache>
                <c:formatCode>0</c:formatCode>
                <c:ptCount val="2"/>
                <c:pt idx="0">
                  <c:v>2016</c:v>
                </c:pt>
                <c:pt idx="1">
                  <c:v>2018</c:v>
                </c:pt>
              </c:numCache>
            </c:numRef>
          </c:cat>
          <c:val>
            <c:numRef>
              <c:f>'Variaz val medi resid.'!$B$15:$C$15</c:f>
              <c:numCache>
                <c:formatCode>0.0</c:formatCode>
                <c:ptCount val="2"/>
                <c:pt idx="0">
                  <c:v>32.1</c:v>
                </c:pt>
                <c:pt idx="1">
                  <c:v>48</c:v>
                </c:pt>
              </c:numCache>
            </c:numRef>
          </c:val>
          <c:smooth val="0"/>
        </c:ser>
        <c:ser>
          <c:idx val="5"/>
          <c:order val="5"/>
          <c:tx>
            <c:strRef>
              <c:f>'Variaz val medi resid.'!$A$16</c:f>
              <c:strCache>
                <c:ptCount val="1"/>
                <c:pt idx="0">
                  <c:v>Res. Ultra-Periferico Altre città</c:v>
                </c:pt>
              </c:strCache>
            </c:strRef>
          </c:tx>
          <c:spPr>
            <a:ln>
              <a:solidFill>
                <a:schemeClr val="accent2"/>
              </a:solidFill>
              <a:prstDash val="sysDash"/>
            </a:ln>
          </c:spPr>
          <c:marker>
            <c:symbol val="triangle"/>
            <c:size val="7"/>
            <c:spPr>
              <a:ln>
                <a:solidFill>
                  <a:schemeClr val="accent3">
                    <a:alpha val="95000"/>
                  </a:schemeClr>
                </a:solidFill>
              </a:ln>
            </c:spPr>
          </c:marker>
          <c:dLbls>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resid.'!$B$10:$C$10</c:f>
              <c:numCache>
                <c:formatCode>0</c:formatCode>
                <c:ptCount val="2"/>
                <c:pt idx="0">
                  <c:v>2016</c:v>
                </c:pt>
                <c:pt idx="1">
                  <c:v>2018</c:v>
                </c:pt>
              </c:numCache>
            </c:numRef>
          </c:cat>
          <c:val>
            <c:numRef>
              <c:f>'Variaz val medi resid.'!$B$16:$C$16</c:f>
              <c:numCache>
                <c:formatCode>0.0</c:formatCode>
                <c:ptCount val="2"/>
                <c:pt idx="0">
                  <c:v>25.3</c:v>
                </c:pt>
                <c:pt idx="1">
                  <c:v>40.700000000000003</c:v>
                </c:pt>
              </c:numCache>
            </c:numRef>
          </c:val>
          <c:smooth val="0"/>
        </c:ser>
        <c:dLbls>
          <c:showLegendKey val="0"/>
          <c:showVal val="0"/>
          <c:showCatName val="0"/>
          <c:showSerName val="0"/>
          <c:showPercent val="0"/>
          <c:showBubbleSize val="0"/>
        </c:dLbls>
        <c:marker val="1"/>
        <c:smooth val="0"/>
        <c:axId val="463972248"/>
        <c:axId val="463972640"/>
      </c:lineChart>
      <c:catAx>
        <c:axId val="463972248"/>
        <c:scaling>
          <c:orientation val="minMax"/>
        </c:scaling>
        <c:delete val="0"/>
        <c:axPos val="b"/>
        <c:numFmt formatCode="0" sourceLinked="1"/>
        <c:majorTickMark val="out"/>
        <c:minorTickMark val="none"/>
        <c:tickLblPos val="nextTo"/>
        <c:crossAx val="463972640"/>
        <c:crosses val="autoZero"/>
        <c:auto val="1"/>
        <c:lblAlgn val="ctr"/>
        <c:lblOffset val="100"/>
        <c:noMultiLvlLbl val="0"/>
      </c:catAx>
      <c:valAx>
        <c:axId val="463972640"/>
        <c:scaling>
          <c:orientation val="minMax"/>
          <c:max val="75"/>
          <c:min val="20"/>
        </c:scaling>
        <c:delete val="0"/>
        <c:axPos val="l"/>
        <c:numFmt formatCode="0.0" sourceLinked="1"/>
        <c:majorTickMark val="out"/>
        <c:minorTickMark val="none"/>
        <c:tickLblPos val="nextTo"/>
        <c:crossAx val="463972248"/>
        <c:crosses val="autoZero"/>
        <c:crossBetween val="between"/>
        <c:majorUnit val="5"/>
        <c:minorUnit val="5"/>
      </c:valAx>
    </c:plotArea>
    <c:legend>
      <c:legendPos val="b"/>
      <c:layout>
        <c:manualLayout>
          <c:xMode val="edge"/>
          <c:yMode val="edge"/>
          <c:x val="9.3988634749675136E-3"/>
          <c:y val="0.84741335242714966"/>
          <c:w val="0.98443718050182449"/>
          <c:h val="0.13300280676017737"/>
        </c:manualLayout>
      </c:layout>
      <c:overlay val="0"/>
      <c:spPr>
        <a:noFill/>
        <a:ln>
          <a:solidFill>
            <a:schemeClr val="accent2"/>
          </a:solidFill>
          <a:prstDash val="sysDash"/>
        </a:ln>
      </c:sp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cap="all" baseline="0"/>
            </a:pPr>
            <a:r>
              <a:rPr lang="it-IT" sz="1200" b="0" i="0" cap="all" baseline="0"/>
              <a:t>Andamento Valori mercato corporate</a:t>
            </a:r>
          </a:p>
        </c:rich>
      </c:tx>
      <c:layout>
        <c:manualLayout>
          <c:xMode val="edge"/>
          <c:yMode val="edge"/>
          <c:x val="0.24389698515069672"/>
          <c:y val="1.6472166331321262E-2"/>
        </c:manualLayout>
      </c:layout>
      <c:overlay val="0"/>
      <c:spPr>
        <a:solidFill>
          <a:schemeClr val="bg1"/>
        </a:solidFill>
        <a:ln>
          <a:solidFill>
            <a:schemeClr val="tx1"/>
          </a:solidFill>
        </a:ln>
      </c:spPr>
    </c:title>
    <c:autoTitleDeleted val="0"/>
    <c:plotArea>
      <c:layout>
        <c:manualLayout>
          <c:layoutTarget val="inner"/>
          <c:xMode val="edge"/>
          <c:yMode val="edge"/>
          <c:x val="0.10512355046528275"/>
          <c:y val="0.16436360947839265"/>
          <c:w val="0.87644203849518809"/>
          <c:h val="0.53391568241469811"/>
        </c:manualLayout>
      </c:layout>
      <c:lineChart>
        <c:grouping val="standard"/>
        <c:varyColors val="0"/>
        <c:ser>
          <c:idx val="0"/>
          <c:order val="0"/>
          <c:tx>
            <c:strRef>
              <c:f>'Valori corporate'!$A$11</c:f>
              <c:strCache>
                <c:ptCount val="1"/>
                <c:pt idx="0">
                  <c:v>Comm. Città Metropol.</c:v>
                </c:pt>
              </c:strCache>
            </c:strRef>
          </c:tx>
          <c:marker>
            <c:symbol val="circle"/>
            <c:size val="7"/>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marker>
          <c:dLbls>
            <c:dLbl>
              <c:idx val="0"/>
              <c:layout>
                <c:manualLayout>
                  <c:x val="-4.6060606060606059E-2"/>
                  <c:y val="-2.14621059691482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'Valori corporate'!$B$10:$C$10</c:f>
              <c:numCache>
                <c:formatCode>0</c:formatCode>
                <c:ptCount val="2"/>
                <c:pt idx="0">
                  <c:v>2016</c:v>
                </c:pt>
                <c:pt idx="1">
                  <c:v>2018</c:v>
                </c:pt>
              </c:numCache>
            </c:numRef>
          </c:cat>
          <c:val>
            <c:numRef>
              <c:f>'Valori corporate'!$B$11:$C$11</c:f>
              <c:numCache>
                <c:formatCode>0.0</c:formatCode>
                <c:ptCount val="2"/>
                <c:pt idx="0">
                  <c:v>37.1</c:v>
                </c:pt>
                <c:pt idx="1">
                  <c:v>53.9</c:v>
                </c:pt>
              </c:numCache>
            </c:numRef>
          </c:val>
          <c:smooth val="0"/>
        </c:ser>
        <c:ser>
          <c:idx val="1"/>
          <c:order val="1"/>
          <c:tx>
            <c:strRef>
              <c:f>'Valori corporate'!$A$12</c:f>
              <c:strCache>
                <c:ptCount val="1"/>
                <c:pt idx="0">
                  <c:v>Uffici Città Metropol.</c:v>
                </c:pt>
              </c:strCache>
            </c:strRef>
          </c:tx>
          <c:spPr>
            <a:ln>
              <a:solidFill>
                <a:schemeClr val="accent2"/>
              </a:solidFill>
            </a:ln>
          </c:spPr>
          <c:dLbls>
            <c:dLbl>
              <c:idx val="0"/>
              <c:layout>
                <c:manualLayout>
                  <c:x val="-1.4545454545454545E-2"/>
                  <c:y val="1.0731052984574111E-2"/>
                </c:manualLayout>
              </c:layout>
              <c:showLegendKey val="0"/>
              <c:showVal val="1"/>
              <c:showCatName val="0"/>
              <c:showSerName val="0"/>
              <c:showPercent val="0"/>
              <c:showBubbleSize val="0"/>
              <c:extLst>
                <c:ext xmlns:c15="http://schemas.microsoft.com/office/drawing/2012/chart" uri="{CE6537A1-D6FC-4f65-9D91-7224C49458BB}"/>
              </c:extLst>
            </c:dLbl>
            <c:spPr>
              <a:ln>
                <a:noFill/>
              </a:ln>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'Valori corporate'!$B$10:$C$10</c:f>
              <c:numCache>
                <c:formatCode>0</c:formatCode>
                <c:ptCount val="2"/>
                <c:pt idx="0">
                  <c:v>2016</c:v>
                </c:pt>
                <c:pt idx="1">
                  <c:v>2018</c:v>
                </c:pt>
              </c:numCache>
            </c:numRef>
          </c:cat>
          <c:val>
            <c:numRef>
              <c:f>'Valori corporate'!$B$12:$C$12</c:f>
              <c:numCache>
                <c:formatCode>0.0</c:formatCode>
                <c:ptCount val="2"/>
                <c:pt idx="0">
                  <c:v>35.200000000000003</c:v>
                </c:pt>
                <c:pt idx="1">
                  <c:v>52</c:v>
                </c:pt>
              </c:numCache>
            </c:numRef>
          </c:val>
          <c:smooth val="0"/>
        </c:ser>
        <c:ser>
          <c:idx val="2"/>
          <c:order val="2"/>
          <c:tx>
            <c:strRef>
              <c:f>'Valori corporate'!$A$13</c:f>
              <c:strCache>
                <c:ptCount val="1"/>
                <c:pt idx="0">
                  <c:v>Logistica/ind. Città Metropol.</c:v>
                </c:pt>
              </c:strCache>
            </c:strRef>
          </c:tx>
          <c:dLbls>
            <c:dLbl>
              <c:idx val="0"/>
              <c:layout>
                <c:manualLayout>
                  <c:x val="-7.7575757575757576E-2"/>
                  <c:y val="8.0482897384305842E-3"/>
                </c:manualLayout>
              </c:layout>
              <c:spPr>
                <a:noFill/>
                <a:ln>
                  <a:noFill/>
                </a:ln>
                <a:effectLst/>
              </c:spPr>
              <c:txPr>
                <a:bodyPr/>
                <a:lstStyle/>
                <a:p>
                  <a:pPr>
                    <a:defRPr sz="900"/>
                  </a:pPr>
                  <a:endParaRPr lang="it-IT"/>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'Valori corporate'!$B$10:$C$10</c:f>
              <c:numCache>
                <c:formatCode>0</c:formatCode>
                <c:ptCount val="2"/>
                <c:pt idx="0">
                  <c:v>2016</c:v>
                </c:pt>
                <c:pt idx="1">
                  <c:v>2018</c:v>
                </c:pt>
              </c:numCache>
            </c:numRef>
          </c:cat>
          <c:val>
            <c:numRef>
              <c:f>'Valori corporate'!$B$13:$C$13</c:f>
              <c:numCache>
                <c:formatCode>0.0</c:formatCode>
                <c:ptCount val="2"/>
                <c:pt idx="0">
                  <c:v>29.2</c:v>
                </c:pt>
                <c:pt idx="1">
                  <c:v>41.3</c:v>
                </c:pt>
              </c:numCache>
            </c:numRef>
          </c:val>
          <c:smooth val="0"/>
        </c:ser>
        <c:ser>
          <c:idx val="3"/>
          <c:order val="3"/>
          <c:tx>
            <c:strRef>
              <c:f>'Valori corporate'!$A$14</c:f>
              <c:strCache>
                <c:ptCount val="1"/>
                <c:pt idx="0">
                  <c:v>Comm. Città Medie</c:v>
                </c:pt>
              </c:strCache>
            </c:strRef>
          </c:tx>
          <c:spPr>
            <a:ln>
              <a:solidFill>
                <a:schemeClr val="accent1"/>
              </a:solidFill>
              <a:prstDash val="sysDash"/>
            </a:ln>
          </c:spPr>
          <c:dPt>
            <c:idx val="1"/>
            <c:marker>
              <c:symbol val="circle"/>
              <c:size val="7"/>
            </c:marker>
            <c:bubble3D val="0"/>
          </c:dPt>
          <c:dLbls>
            <c:dLbl>
              <c:idx val="0"/>
              <c:layout>
                <c:manualLayout>
                  <c:x val="-7.2727272727272724E-2"/>
                  <c:y val="8.048289738430584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'Valori corporate'!$B$10:$C$10</c:f>
              <c:numCache>
                <c:formatCode>0</c:formatCode>
                <c:ptCount val="2"/>
                <c:pt idx="0">
                  <c:v>2016</c:v>
                </c:pt>
                <c:pt idx="1">
                  <c:v>2018</c:v>
                </c:pt>
              </c:numCache>
            </c:numRef>
          </c:cat>
          <c:val>
            <c:numRef>
              <c:f>'Valori corporate'!$B$14:$C$14</c:f>
              <c:numCache>
                <c:formatCode>0.0</c:formatCode>
                <c:ptCount val="2"/>
                <c:pt idx="0">
                  <c:v>25.3</c:v>
                </c:pt>
                <c:pt idx="1">
                  <c:v>42.8</c:v>
                </c:pt>
              </c:numCache>
            </c:numRef>
          </c:val>
          <c:smooth val="0"/>
        </c:ser>
        <c:ser>
          <c:idx val="4"/>
          <c:order val="4"/>
          <c:tx>
            <c:strRef>
              <c:f>'Valori corporate'!$A$15</c:f>
              <c:strCache>
                <c:ptCount val="1"/>
                <c:pt idx="0">
                  <c:v>Uffici Città Medie</c:v>
                </c:pt>
              </c:strCache>
            </c:strRef>
          </c:tx>
          <c:spPr>
            <a:ln>
              <a:solidFill>
                <a:schemeClr val="accent2"/>
              </a:solidFill>
              <a:prstDash val="sysDash"/>
              <a:headEnd type="oval"/>
              <a:tailEnd type="oval"/>
            </a:ln>
          </c:spPr>
          <c:dLbls>
            <c:dLbl>
              <c:idx val="0"/>
              <c:layout>
                <c:manualLayout>
                  <c:x val="-7.2727272727272724E-2"/>
                  <c:y val="2.14621059691482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8.048289738430584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'Valori corporate'!$B$10:$C$10</c:f>
              <c:numCache>
                <c:formatCode>0</c:formatCode>
                <c:ptCount val="2"/>
                <c:pt idx="0">
                  <c:v>2016</c:v>
                </c:pt>
                <c:pt idx="1">
                  <c:v>2018</c:v>
                </c:pt>
              </c:numCache>
            </c:numRef>
          </c:cat>
          <c:val>
            <c:numRef>
              <c:f>'Valori corporate'!$B$15:$C$15</c:f>
              <c:numCache>
                <c:formatCode>0.0</c:formatCode>
                <c:ptCount val="2"/>
                <c:pt idx="0">
                  <c:v>24.5</c:v>
                </c:pt>
                <c:pt idx="1">
                  <c:v>40.1</c:v>
                </c:pt>
              </c:numCache>
            </c:numRef>
          </c:val>
          <c:smooth val="0"/>
        </c:ser>
        <c:ser>
          <c:idx val="5"/>
          <c:order val="5"/>
          <c:tx>
            <c:strRef>
              <c:f>'Valori corporate'!$A$16</c:f>
              <c:strCache>
                <c:ptCount val="1"/>
                <c:pt idx="0">
                  <c:v>Logistica/ind. Città Medie</c:v>
                </c:pt>
              </c:strCache>
            </c:strRef>
          </c:tx>
          <c:spPr>
            <a:ln>
              <a:solidFill>
                <a:schemeClr val="accent3"/>
              </a:solidFill>
              <a:prstDash val="sysDash"/>
            </a:ln>
          </c:spPr>
          <c:marker>
            <c:symbol val="triangle"/>
            <c:size val="7"/>
            <c:spPr>
              <a:ln>
                <a:solidFill>
                  <a:schemeClr val="accent3">
                    <a:alpha val="95000"/>
                  </a:schemeClr>
                </a:solidFill>
              </a:ln>
            </c:spPr>
          </c:marker>
          <c:dLbls>
            <c:dLbl>
              <c:idx val="0"/>
              <c:layout>
                <c:manualLayout>
                  <c:x val="-7.2727272727272724E-2"/>
                  <c:y val="2.95103957075788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242424242424242E-3"/>
                  <c:y val="1.60965794768611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'Valori corporate'!$B$10:$C$10</c:f>
              <c:numCache>
                <c:formatCode>0</c:formatCode>
                <c:ptCount val="2"/>
                <c:pt idx="0">
                  <c:v>2016</c:v>
                </c:pt>
                <c:pt idx="1">
                  <c:v>2018</c:v>
                </c:pt>
              </c:numCache>
            </c:numRef>
          </c:cat>
          <c:val>
            <c:numRef>
              <c:f>'Valori corporate'!$B$16:$C$16</c:f>
              <c:numCache>
                <c:formatCode>0.0</c:formatCode>
                <c:ptCount val="2"/>
                <c:pt idx="0">
                  <c:v>22.6</c:v>
                </c:pt>
                <c:pt idx="1">
                  <c:v>37.9</c:v>
                </c:pt>
              </c:numCache>
            </c:numRef>
          </c:val>
          <c:smooth val="0"/>
        </c:ser>
        <c:dLbls>
          <c:showLegendKey val="0"/>
          <c:showVal val="0"/>
          <c:showCatName val="0"/>
          <c:showSerName val="0"/>
          <c:showPercent val="0"/>
          <c:showBubbleSize val="0"/>
        </c:dLbls>
        <c:marker val="1"/>
        <c:smooth val="0"/>
        <c:axId val="463973424"/>
        <c:axId val="463973816"/>
      </c:lineChart>
      <c:catAx>
        <c:axId val="463973424"/>
        <c:scaling>
          <c:orientation val="minMax"/>
        </c:scaling>
        <c:delete val="0"/>
        <c:axPos val="b"/>
        <c:numFmt formatCode="0" sourceLinked="1"/>
        <c:majorTickMark val="out"/>
        <c:minorTickMark val="none"/>
        <c:tickLblPos val="nextTo"/>
        <c:crossAx val="463973816"/>
        <c:crosses val="autoZero"/>
        <c:auto val="1"/>
        <c:lblAlgn val="ctr"/>
        <c:lblOffset val="100"/>
        <c:noMultiLvlLbl val="0"/>
      </c:catAx>
      <c:valAx>
        <c:axId val="463973816"/>
        <c:scaling>
          <c:orientation val="minMax"/>
          <c:max val="75"/>
          <c:min val="20"/>
        </c:scaling>
        <c:delete val="0"/>
        <c:axPos val="l"/>
        <c:numFmt formatCode="0.0" sourceLinked="1"/>
        <c:majorTickMark val="out"/>
        <c:minorTickMark val="none"/>
        <c:tickLblPos val="nextTo"/>
        <c:crossAx val="463973424"/>
        <c:crosses val="autoZero"/>
        <c:crossBetween val="between"/>
        <c:majorUnit val="5"/>
        <c:minorUnit val="5"/>
      </c:valAx>
    </c:plotArea>
    <c:legend>
      <c:legendPos val="b"/>
      <c:layout>
        <c:manualLayout>
          <c:xMode val="edge"/>
          <c:yMode val="edge"/>
          <c:x val="3.7841088045812453E-2"/>
          <c:y val="0.78278827986968558"/>
          <c:w val="0.93820579207260113"/>
          <c:h val="0.14315301291529969"/>
        </c:manualLayout>
      </c:layout>
      <c:overlay val="0"/>
      <c:spPr>
        <a:ln>
          <a:solidFill>
            <a:schemeClr val="accent1"/>
          </a:solidFill>
          <a:prstDash val="sysDash"/>
        </a:ln>
      </c:sp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baseline="0"/>
            </a:pPr>
            <a:r>
              <a:rPr lang="it-IT" sz="1200" b="0" i="0" cap="all" baseline="0"/>
              <a:t>Variazioni valori medi mercato Corporate</a:t>
            </a:r>
          </a:p>
        </c:rich>
      </c:tx>
      <c:layout>
        <c:manualLayout>
          <c:xMode val="edge"/>
          <c:yMode val="edge"/>
          <c:x val="0.21380340115713384"/>
          <c:y val="1.990317818729688E-2"/>
        </c:manualLayout>
      </c:layout>
      <c:overlay val="1"/>
      <c:spPr>
        <a:solidFill>
          <a:schemeClr val="bg1"/>
        </a:solidFill>
        <a:ln>
          <a:solidFill>
            <a:schemeClr val="tx1"/>
          </a:solidFill>
        </a:ln>
      </c:spPr>
    </c:title>
    <c:autoTitleDeleted val="0"/>
    <c:plotArea>
      <c:layout>
        <c:manualLayout>
          <c:layoutTarget val="inner"/>
          <c:xMode val="edge"/>
          <c:yMode val="edge"/>
          <c:x val="9.1347315762744852E-2"/>
          <c:y val="0.1834599507542535"/>
          <c:w val="0.85462881556983294"/>
          <c:h val="0.55422611499405272"/>
        </c:manualLayout>
      </c:layout>
      <c:lineChart>
        <c:grouping val="standard"/>
        <c:varyColors val="0"/>
        <c:ser>
          <c:idx val="0"/>
          <c:order val="0"/>
          <c:tx>
            <c:strRef>
              <c:f>'Variaz val medi Negozi uffici l'!$A$11</c:f>
              <c:strCache>
                <c:ptCount val="1"/>
                <c:pt idx="0">
                  <c:v>Negozi centrali Città Metropol.</c:v>
                </c:pt>
              </c:strCache>
            </c:strRef>
          </c:tx>
          <c:marker>
            <c:symbol val="circle"/>
            <c:size val="7"/>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marker>
          <c:dLbls>
            <c:dLbl>
              <c:idx val="0"/>
              <c:layout>
                <c:manualLayout>
                  <c:x val="-0.11334911702191576"/>
                  <c:y val="4.570222864317766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Negozi uffici l'!$B$10:$C$10</c:f>
              <c:numCache>
                <c:formatCode>0</c:formatCode>
                <c:ptCount val="2"/>
                <c:pt idx="0">
                  <c:v>2016</c:v>
                </c:pt>
                <c:pt idx="1">
                  <c:v>2018</c:v>
                </c:pt>
              </c:numCache>
            </c:numRef>
          </c:cat>
          <c:val>
            <c:numRef>
              <c:f>'Variaz val medi Negozi uffici l'!$B$11:$C$11</c:f>
              <c:numCache>
                <c:formatCode>0.0</c:formatCode>
                <c:ptCount val="2"/>
                <c:pt idx="0">
                  <c:v>53.6</c:v>
                </c:pt>
                <c:pt idx="1">
                  <c:v>58</c:v>
                </c:pt>
              </c:numCache>
            </c:numRef>
          </c:val>
          <c:smooth val="0"/>
        </c:ser>
        <c:ser>
          <c:idx val="1"/>
          <c:order val="1"/>
          <c:tx>
            <c:strRef>
              <c:f>'Variaz val medi Negozi uffici l'!$A$12</c:f>
              <c:strCache>
                <c:ptCount val="1"/>
                <c:pt idx="0">
                  <c:v>Negozi centrali Altre città</c:v>
                </c:pt>
              </c:strCache>
            </c:strRef>
          </c:tx>
          <c:spPr>
            <a:ln>
              <a:solidFill>
                <a:schemeClr val="accent1"/>
              </a:solidFill>
              <a:prstDash val="sysDash"/>
            </a:ln>
          </c:spPr>
          <c:marker>
            <c:symbol val="square"/>
            <c:size val="5"/>
            <c:spPr>
              <a:ln>
                <a:solidFill>
                  <a:schemeClr val="accent1"/>
                </a:solidFill>
              </a:ln>
            </c:spPr>
          </c:marker>
          <c:dPt>
            <c:idx val="1"/>
            <c:bubble3D val="0"/>
          </c:dPt>
          <c:dLbls>
            <c:dLbl>
              <c:idx val="0"/>
              <c:layout>
                <c:manualLayout>
                  <c:x val="-8.846760352930011E-2"/>
                  <c:y val="-3.4900286857588378E-2"/>
                </c:manualLayout>
              </c:layout>
              <c:showLegendKey val="0"/>
              <c:showVal val="1"/>
              <c:showCatName val="0"/>
              <c:showSerName val="0"/>
              <c:showPercent val="0"/>
              <c:showBubbleSize val="0"/>
              <c:extLst>
                <c:ext xmlns:c15="http://schemas.microsoft.com/office/drawing/2012/chart" uri="{CE6537A1-D6FC-4f65-9D91-7224C49458BB}"/>
              </c:extLst>
            </c:dLbl>
            <c:spPr>
              <a:ln>
                <a:noFill/>
              </a:ln>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Negozi uffici l'!$B$10:$C$10</c:f>
              <c:numCache>
                <c:formatCode>0</c:formatCode>
                <c:ptCount val="2"/>
                <c:pt idx="0">
                  <c:v>2016</c:v>
                </c:pt>
                <c:pt idx="1">
                  <c:v>2018</c:v>
                </c:pt>
              </c:numCache>
            </c:numRef>
          </c:cat>
          <c:val>
            <c:numRef>
              <c:f>'Variaz val medi Negozi uffici l'!$B$12:$C$12</c:f>
              <c:numCache>
                <c:formatCode>0.0</c:formatCode>
                <c:ptCount val="2"/>
                <c:pt idx="0">
                  <c:v>39.200000000000003</c:v>
                </c:pt>
                <c:pt idx="1">
                  <c:v>53.4</c:v>
                </c:pt>
              </c:numCache>
            </c:numRef>
          </c:val>
          <c:smooth val="0"/>
        </c:ser>
        <c:ser>
          <c:idx val="2"/>
          <c:order val="2"/>
          <c:tx>
            <c:strRef>
              <c:f>'Variaz val medi Negozi uffici l'!$A$13</c:f>
              <c:strCache>
                <c:ptCount val="1"/>
                <c:pt idx="0">
                  <c:v>Uffici cielo-terra Città Metropol.</c:v>
                </c:pt>
              </c:strCache>
            </c:strRef>
          </c:tx>
          <c:dLbls>
            <c:dLbl>
              <c:idx val="0"/>
              <c:layout>
                <c:manualLayout>
                  <c:x val="-9.3996828749881356E-2"/>
                  <c:y val="2.24358986941639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Negozi uffici l'!$B$10:$C$10</c:f>
              <c:numCache>
                <c:formatCode>0</c:formatCode>
                <c:ptCount val="2"/>
                <c:pt idx="0">
                  <c:v>2016</c:v>
                </c:pt>
                <c:pt idx="1">
                  <c:v>2018</c:v>
                </c:pt>
              </c:numCache>
            </c:numRef>
          </c:cat>
          <c:val>
            <c:numRef>
              <c:f>'Variaz val medi Negozi uffici l'!$B$13:$C$13</c:f>
              <c:numCache>
                <c:formatCode>0.0</c:formatCode>
                <c:ptCount val="2"/>
                <c:pt idx="0">
                  <c:v>38.9</c:v>
                </c:pt>
                <c:pt idx="1">
                  <c:v>50</c:v>
                </c:pt>
              </c:numCache>
            </c:numRef>
          </c:val>
          <c:smooth val="0"/>
        </c:ser>
        <c:ser>
          <c:idx val="3"/>
          <c:order val="3"/>
          <c:tx>
            <c:strRef>
              <c:f>'Variaz val medi Negozi uffici l'!$A$14</c:f>
              <c:strCache>
                <c:ptCount val="1"/>
                <c:pt idx="0">
                  <c:v>Uffici cielo-terra Altre città</c:v>
                </c:pt>
              </c:strCache>
            </c:strRef>
          </c:tx>
          <c:spPr>
            <a:ln>
              <a:solidFill>
                <a:schemeClr val="accent3"/>
              </a:solidFill>
              <a:prstDash val="sysDash"/>
            </a:ln>
          </c:spPr>
          <c:dPt>
            <c:idx val="1"/>
            <c:marker>
              <c:symbol val="circle"/>
              <c:size val="7"/>
            </c:marker>
            <c:bubble3D val="0"/>
          </c:dPt>
          <c:dLbls>
            <c:dLbl>
              <c:idx val="0"/>
              <c:layout>
                <c:manualLayout>
                  <c:x val="-8.2938378308718849E-2"/>
                  <c:y val="-2.49287763268488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Negozi uffici l'!$B$10:$C$10</c:f>
              <c:numCache>
                <c:formatCode>0</c:formatCode>
                <c:ptCount val="2"/>
                <c:pt idx="0">
                  <c:v>2016</c:v>
                </c:pt>
                <c:pt idx="1">
                  <c:v>2018</c:v>
                </c:pt>
              </c:numCache>
            </c:numRef>
          </c:cat>
          <c:val>
            <c:numRef>
              <c:f>'Variaz val medi Negozi uffici l'!$B$14:$C$14</c:f>
              <c:numCache>
                <c:formatCode>0.0</c:formatCode>
                <c:ptCount val="2"/>
                <c:pt idx="0">
                  <c:v>30.8</c:v>
                </c:pt>
                <c:pt idx="1">
                  <c:v>45</c:v>
                </c:pt>
              </c:numCache>
            </c:numRef>
          </c:val>
          <c:smooth val="0"/>
        </c:ser>
        <c:ser>
          <c:idx val="4"/>
          <c:order val="4"/>
          <c:tx>
            <c:strRef>
              <c:f>'Variaz val medi Negozi uffici l'!$A$15</c:f>
              <c:strCache>
                <c:ptCount val="1"/>
                <c:pt idx="0">
                  <c:v>Logistica/industr. Città Metropol.</c:v>
                </c:pt>
              </c:strCache>
            </c:strRef>
          </c:tx>
          <c:spPr>
            <a:ln>
              <a:solidFill>
                <a:schemeClr val="accent2"/>
              </a:solidFill>
              <a:prstDash val="solid"/>
              <a:headEnd type="oval"/>
              <a:tailEnd type="oval"/>
            </a:ln>
          </c:spPr>
          <c:dLbls>
            <c:dLbl>
              <c:idx val="0"/>
              <c:layout>
                <c:manualLayout>
                  <c:x val="-7.7409153088137589E-2"/>
                  <c:y val="2.99145315922186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Negozi uffici l'!$B$10:$C$10</c:f>
              <c:numCache>
                <c:formatCode>0</c:formatCode>
                <c:ptCount val="2"/>
                <c:pt idx="0">
                  <c:v>2016</c:v>
                </c:pt>
                <c:pt idx="1">
                  <c:v>2018</c:v>
                </c:pt>
              </c:numCache>
            </c:numRef>
          </c:cat>
          <c:val>
            <c:numRef>
              <c:f>'Variaz val medi Negozi uffici l'!$B$15:$C$15</c:f>
              <c:numCache>
                <c:formatCode>0.0</c:formatCode>
                <c:ptCount val="2"/>
                <c:pt idx="0">
                  <c:v>30</c:v>
                </c:pt>
                <c:pt idx="1">
                  <c:v>41.3</c:v>
                </c:pt>
              </c:numCache>
            </c:numRef>
          </c:val>
          <c:smooth val="0"/>
        </c:ser>
        <c:ser>
          <c:idx val="5"/>
          <c:order val="5"/>
          <c:tx>
            <c:strRef>
              <c:f>'Variaz val medi Negozi uffici l'!$A$16</c:f>
              <c:strCache>
                <c:ptCount val="1"/>
                <c:pt idx="0">
                  <c:v>Logistica/industr. Altre città</c:v>
                </c:pt>
              </c:strCache>
            </c:strRef>
          </c:tx>
          <c:spPr>
            <a:ln>
              <a:solidFill>
                <a:schemeClr val="accent2"/>
              </a:solidFill>
              <a:prstDash val="sysDash"/>
            </a:ln>
          </c:spPr>
          <c:marker>
            <c:symbol val="triangle"/>
            <c:size val="7"/>
            <c:spPr>
              <a:ln>
                <a:solidFill>
                  <a:schemeClr val="accent3">
                    <a:alpha val="95000"/>
                  </a:schemeClr>
                </a:solidFill>
              </a:ln>
            </c:spPr>
          </c:marker>
          <c:dLbls>
            <c:dLbl>
              <c:idx val="0"/>
              <c:layout>
                <c:manualLayout>
                  <c:x val="-8.84676035293001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'Variaz val medi Negozi uffici l'!$B$10:$C$10</c:f>
              <c:numCache>
                <c:formatCode>0</c:formatCode>
                <c:ptCount val="2"/>
                <c:pt idx="0">
                  <c:v>2016</c:v>
                </c:pt>
                <c:pt idx="1">
                  <c:v>2018</c:v>
                </c:pt>
              </c:numCache>
            </c:numRef>
          </c:cat>
          <c:val>
            <c:numRef>
              <c:f>'Variaz val medi Negozi uffici l'!$B$16:$C$16</c:f>
              <c:numCache>
                <c:formatCode>0.0</c:formatCode>
                <c:ptCount val="2"/>
                <c:pt idx="0">
                  <c:v>23</c:v>
                </c:pt>
                <c:pt idx="1">
                  <c:v>38.799999999999997</c:v>
                </c:pt>
              </c:numCache>
            </c:numRef>
          </c:val>
          <c:smooth val="0"/>
        </c:ser>
        <c:dLbls>
          <c:showLegendKey val="0"/>
          <c:showVal val="0"/>
          <c:showCatName val="0"/>
          <c:showSerName val="0"/>
          <c:showPercent val="0"/>
          <c:showBubbleSize val="0"/>
        </c:dLbls>
        <c:marker val="1"/>
        <c:smooth val="0"/>
        <c:axId val="465053720"/>
        <c:axId val="465054112"/>
      </c:lineChart>
      <c:catAx>
        <c:axId val="465053720"/>
        <c:scaling>
          <c:orientation val="minMax"/>
        </c:scaling>
        <c:delete val="0"/>
        <c:axPos val="b"/>
        <c:numFmt formatCode="0" sourceLinked="1"/>
        <c:majorTickMark val="out"/>
        <c:minorTickMark val="none"/>
        <c:tickLblPos val="nextTo"/>
        <c:crossAx val="465054112"/>
        <c:crosses val="autoZero"/>
        <c:auto val="1"/>
        <c:lblAlgn val="ctr"/>
        <c:lblOffset val="100"/>
        <c:noMultiLvlLbl val="0"/>
      </c:catAx>
      <c:valAx>
        <c:axId val="465054112"/>
        <c:scaling>
          <c:orientation val="minMax"/>
          <c:max val="75"/>
          <c:min val="20"/>
        </c:scaling>
        <c:delete val="0"/>
        <c:axPos val="l"/>
        <c:numFmt formatCode="0.0" sourceLinked="1"/>
        <c:majorTickMark val="out"/>
        <c:minorTickMark val="none"/>
        <c:tickLblPos val="nextTo"/>
        <c:crossAx val="465053720"/>
        <c:crosses val="autoZero"/>
        <c:crossBetween val="between"/>
        <c:majorUnit val="5"/>
        <c:minorUnit val="5"/>
      </c:valAx>
    </c:plotArea>
    <c:legend>
      <c:legendPos val="b"/>
      <c:layout>
        <c:manualLayout>
          <c:xMode val="edge"/>
          <c:yMode val="edge"/>
          <c:x val="3.3636727612438279E-2"/>
          <c:y val="0.85925077547124795"/>
          <c:w val="0.95024066906890881"/>
          <c:h val="0.12116526756469491"/>
        </c:manualLayout>
      </c:layout>
      <c:overlay val="0"/>
      <c:spPr>
        <a:noFill/>
        <a:ln>
          <a:solidFill>
            <a:schemeClr val="accent2"/>
          </a:solidFill>
          <a:prstDash val="sysDash"/>
        </a:ln>
      </c:sp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a:pPr>
            <a:r>
              <a:rPr lang="it-IT" sz="1050">
                <a:solidFill>
                  <a:schemeClr val="bg1">
                    <a:lumMod val="50000"/>
                  </a:schemeClr>
                </a:solidFill>
              </a:rPr>
              <a:t>Andamento</a:t>
            </a:r>
            <a:r>
              <a:rPr lang="it-IT" sz="1050" baseline="0">
                <a:solidFill>
                  <a:schemeClr val="bg1">
                    <a:lumMod val="50000"/>
                  </a:schemeClr>
                </a:solidFill>
              </a:rPr>
              <a:t> Valori</a:t>
            </a:r>
            <a:endParaRPr lang="it-IT" sz="1050">
              <a:solidFill>
                <a:schemeClr val="bg1">
                  <a:lumMod val="50000"/>
                </a:schemeClr>
              </a:solidFill>
            </a:endParaRPr>
          </a:p>
        </c:rich>
      </c:tx>
      <c:layout>
        <c:manualLayout>
          <c:xMode val="edge"/>
          <c:yMode val="edge"/>
          <c:x val="0.39284938271604936"/>
          <c:y val="3.7735849056603772E-2"/>
        </c:manualLayout>
      </c:layout>
      <c:overlay val="0"/>
    </c:title>
    <c:autoTitleDeleted val="0"/>
    <c:plotArea>
      <c:layout>
        <c:manualLayout>
          <c:layoutTarget val="inner"/>
          <c:xMode val="edge"/>
          <c:yMode val="edge"/>
          <c:x val="2.5019902194927782E-2"/>
          <c:y val="0.11372141372141373"/>
          <c:w val="0.96273109157158832"/>
          <c:h val="0.71602714161769276"/>
        </c:manualLayout>
      </c:layout>
      <c:barChart>
        <c:barDir val="col"/>
        <c:grouping val="clustered"/>
        <c:varyColors val="0"/>
        <c:ser>
          <c:idx val="0"/>
          <c:order val="0"/>
          <c:tx>
            <c:strRef>
              <c:f>Fig.1!$G$43</c:f>
              <c:strCache>
                <c:ptCount val="1"/>
                <c:pt idx="0">
                  <c:v>2016</c:v>
                </c:pt>
              </c:strCache>
            </c:strRef>
          </c:tx>
          <c:spPr>
            <a:solidFill>
              <a:srgbClr val="FFC000">
                <a:alpha val="83000"/>
              </a:srgbClr>
            </a:solidFill>
          </c:spPr>
          <c:invertIfNegative val="0"/>
          <c:dLbls>
            <c:dLbl>
              <c:idx val="0"/>
              <c:tx>
                <c:rich>
                  <a:bodyPr/>
                  <a:lstStyle/>
                  <a:p>
                    <a:r>
                      <a:rPr lang="en-US"/>
                      <a:t>50,9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56,2</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Fig.1!$E$44:$E$48</c:f>
              <c:strCache>
                <c:ptCount val="5"/>
                <c:pt idx="0">
                  <c:v>Residenziale Nuovo</c:v>
                </c:pt>
                <c:pt idx="1">
                  <c:v>Residenziale Usato</c:v>
                </c:pt>
                <c:pt idx="2">
                  <c:v>Commerciale</c:v>
                </c:pt>
                <c:pt idx="3">
                  <c:v>Uffici</c:v>
                </c:pt>
                <c:pt idx="4">
                  <c:v>Logistica/Industriale</c:v>
                </c:pt>
              </c:strCache>
            </c:strRef>
          </c:cat>
          <c:val>
            <c:numRef>
              <c:f>Fig.1!$G$44:$G$48</c:f>
              <c:numCache>
                <c:formatCode>General</c:formatCode>
                <c:ptCount val="5"/>
                <c:pt idx="0">
                  <c:v>50.8</c:v>
                </c:pt>
                <c:pt idx="1">
                  <c:v>56.1</c:v>
                </c:pt>
                <c:pt idx="2">
                  <c:v>27.9</c:v>
                </c:pt>
                <c:pt idx="3">
                  <c:v>26.9</c:v>
                </c:pt>
                <c:pt idx="4">
                  <c:v>24</c:v>
                </c:pt>
              </c:numCache>
            </c:numRef>
          </c:val>
        </c:ser>
        <c:ser>
          <c:idx val="1"/>
          <c:order val="1"/>
          <c:tx>
            <c:strRef>
              <c:f>Fig.1!$H$43</c:f>
              <c:strCache>
                <c:ptCount val="1"/>
                <c:pt idx="0">
                  <c:v>2018</c:v>
                </c:pt>
              </c:strCache>
            </c:strRef>
          </c:tx>
          <c:spPr>
            <a:solidFill>
              <a:schemeClr val="accent1">
                <a:alpha val="72000"/>
              </a:schemeClr>
            </a:solidFill>
          </c:spPr>
          <c:invertIfNegative val="0"/>
          <c:dLbls>
            <c:dLbl>
              <c:idx val="0"/>
              <c:tx>
                <c:rich>
                  <a:bodyPr/>
                  <a:lstStyle/>
                  <a:p>
                    <a:r>
                      <a:rPr lang="en-US"/>
                      <a:t>69,1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Fig.1!$E$44:$E$48</c:f>
              <c:strCache>
                <c:ptCount val="5"/>
                <c:pt idx="0">
                  <c:v>Residenziale Nuovo</c:v>
                </c:pt>
                <c:pt idx="1">
                  <c:v>Residenziale Usato</c:v>
                </c:pt>
                <c:pt idx="2">
                  <c:v>Commerciale</c:v>
                </c:pt>
                <c:pt idx="3">
                  <c:v>Uffici</c:v>
                </c:pt>
                <c:pt idx="4">
                  <c:v>Logistica/Industriale</c:v>
                </c:pt>
              </c:strCache>
            </c:strRef>
          </c:cat>
          <c:val>
            <c:numRef>
              <c:f>Fig.1!$H$44:$H$48</c:f>
              <c:numCache>
                <c:formatCode>General</c:formatCode>
                <c:ptCount val="5"/>
                <c:pt idx="0">
                  <c:v>69.2</c:v>
                </c:pt>
                <c:pt idx="1">
                  <c:v>64.2</c:v>
                </c:pt>
                <c:pt idx="2">
                  <c:v>45.3</c:v>
                </c:pt>
                <c:pt idx="3">
                  <c:v>42.7</c:v>
                </c:pt>
                <c:pt idx="4">
                  <c:v>38.6</c:v>
                </c:pt>
              </c:numCache>
            </c:numRef>
          </c:val>
        </c:ser>
        <c:dLbls>
          <c:showLegendKey val="0"/>
          <c:showVal val="0"/>
          <c:showCatName val="0"/>
          <c:showSerName val="0"/>
          <c:showPercent val="0"/>
          <c:showBubbleSize val="0"/>
        </c:dLbls>
        <c:gapWidth val="90"/>
        <c:axId val="403342536"/>
        <c:axId val="147198248"/>
      </c:barChart>
      <c:catAx>
        <c:axId val="403342536"/>
        <c:scaling>
          <c:orientation val="minMax"/>
        </c:scaling>
        <c:delete val="0"/>
        <c:axPos val="b"/>
        <c:numFmt formatCode="General" sourceLinked="0"/>
        <c:majorTickMark val="none"/>
        <c:minorTickMark val="none"/>
        <c:tickLblPos val="nextTo"/>
        <c:crossAx val="147198248"/>
        <c:crosses val="autoZero"/>
        <c:auto val="1"/>
        <c:lblAlgn val="ctr"/>
        <c:lblOffset val="100"/>
        <c:noMultiLvlLbl val="0"/>
      </c:catAx>
      <c:valAx>
        <c:axId val="147198248"/>
        <c:scaling>
          <c:orientation val="minMax"/>
        </c:scaling>
        <c:delete val="1"/>
        <c:axPos val="l"/>
        <c:majorGridlines/>
        <c:numFmt formatCode="General" sourceLinked="1"/>
        <c:majorTickMark val="none"/>
        <c:minorTickMark val="none"/>
        <c:tickLblPos val="nextTo"/>
        <c:crossAx val="403342536"/>
        <c:crosses val="autoZero"/>
        <c:crossBetween val="between"/>
      </c:valAx>
    </c:plotArea>
    <c:legend>
      <c:legendPos val="b"/>
      <c:overlay val="0"/>
    </c:legend>
    <c:plotVisOnly val="1"/>
    <c:dispBlanksAs val="gap"/>
    <c:showDLblsOverMax val="0"/>
  </c:chart>
  <c:spPr>
    <a:ln>
      <a:solidFill>
        <a:schemeClr val="bg2"/>
      </a:solid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Foglio1!$B$1</c:f>
              <c:strCache>
                <c:ptCount val="1"/>
                <c:pt idx="0">
                  <c:v>val.%</c:v>
                </c:pt>
              </c:strCache>
            </c:strRef>
          </c:tx>
          <c:spPr>
            <a:solidFill>
              <a:schemeClr val="accent4">
                <a:alpha val="85000"/>
              </a:schemeClr>
            </a:solidFill>
            <a:ln w="9525" cap="flat" cmpd="sng" algn="ctr">
              <a:solidFill>
                <a:schemeClr val="lt1">
                  <a:alpha val="5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Foglio1!$A$2:$A$10</c:f>
              <c:strCache>
                <c:ptCount val="9"/>
                <c:pt idx="0">
                  <c:v>Terrazzi</c:v>
                </c:pt>
                <c:pt idx="1">
                  <c:v>Parcheggi</c:v>
                </c:pt>
                <c:pt idx="2">
                  <c:v>Sicurezza</c:v>
                </c:pt>
                <c:pt idx="3">
                  <c:v>Contesto ambientale</c:v>
                </c:pt>
                <c:pt idx="4">
                  <c:v>Vetustà</c:v>
                </c:pt>
                <c:pt idx="5">
                  <c:v>Dimensioni</c:v>
                </c:pt>
                <c:pt idx="6">
                  <c:v>Materiali e finiture</c:v>
                </c:pt>
                <c:pt idx="7">
                  <c:v>Bassi costi di manutenzione e gestione</c:v>
                </c:pt>
                <c:pt idx="8">
                  <c:v>Localizzazione e accessibilità</c:v>
                </c:pt>
              </c:strCache>
            </c:strRef>
          </c:cat>
          <c:val>
            <c:numRef>
              <c:f>Foglio1!$B$2:$B$10</c:f>
              <c:numCache>
                <c:formatCode>General</c:formatCode>
                <c:ptCount val="9"/>
                <c:pt idx="0">
                  <c:v>2</c:v>
                </c:pt>
                <c:pt idx="1">
                  <c:v>5</c:v>
                </c:pt>
                <c:pt idx="2">
                  <c:v>14</c:v>
                </c:pt>
                <c:pt idx="3">
                  <c:v>18</c:v>
                </c:pt>
                <c:pt idx="4">
                  <c:v>19</c:v>
                </c:pt>
                <c:pt idx="5">
                  <c:v>23</c:v>
                </c:pt>
                <c:pt idx="6">
                  <c:v>23</c:v>
                </c:pt>
                <c:pt idx="7">
                  <c:v>27</c:v>
                </c:pt>
                <c:pt idx="8">
                  <c:v>68</c:v>
                </c:pt>
              </c:numCache>
            </c:numRef>
          </c:val>
        </c:ser>
        <c:dLbls>
          <c:dLblPos val="inEnd"/>
          <c:showLegendKey val="0"/>
          <c:showVal val="1"/>
          <c:showCatName val="0"/>
          <c:showSerName val="0"/>
          <c:showPercent val="0"/>
          <c:showBubbleSize val="0"/>
        </c:dLbls>
        <c:gapWidth val="65"/>
        <c:axId val="465054504"/>
        <c:axId val="465054896"/>
      </c:barChart>
      <c:catAx>
        <c:axId val="4650545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it-IT"/>
          </a:p>
        </c:txPr>
        <c:crossAx val="465054896"/>
        <c:crosses val="autoZero"/>
        <c:auto val="1"/>
        <c:lblAlgn val="ctr"/>
        <c:lblOffset val="100"/>
        <c:noMultiLvlLbl val="0"/>
      </c:catAx>
      <c:valAx>
        <c:axId val="465054896"/>
        <c:scaling>
          <c:orientation val="minMax"/>
          <c:max val="70"/>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5054504"/>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it-IT" sz="1000"/>
              <a:t>Bilancio delle attività svolte nel 2015 </a:t>
            </a:r>
          </a:p>
          <a:p>
            <a:pPr>
              <a:defRPr sz="1000"/>
            </a:pPr>
            <a:r>
              <a:rPr lang="it-IT" sz="1000"/>
              <a:t> </a:t>
            </a:r>
            <a:r>
              <a:rPr lang="it-IT" sz="1000" b="0"/>
              <a:t>% di intervistati che rispondono "in diminuzione"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barChart>
        <c:barDir val="bar"/>
        <c:grouping val="clustered"/>
        <c:varyColors val="0"/>
        <c:ser>
          <c:idx val="0"/>
          <c:order val="0"/>
          <c:tx>
            <c:strRef>
              <c:f>Foglio1!$B$1</c:f>
              <c:strCache>
                <c:ptCount val="1"/>
                <c:pt idx="0">
                  <c:v>ITALIA</c:v>
                </c:pt>
              </c:strCache>
            </c:strRef>
          </c:tx>
          <c:spPr>
            <a:solidFill>
              <a:srgbClr val="5B9BD5">
                <a:lumMod val="5000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Foglio1!$A$2:$A$6</c:f>
              <c:strCache>
                <c:ptCount val="5"/>
                <c:pt idx="0">
                  <c:v>Geometri/Periti</c:v>
                </c:pt>
                <c:pt idx="1">
                  <c:v>Ingegneri/Architetti</c:v>
                </c:pt>
                <c:pt idx="2">
                  <c:v>Studi notarili</c:v>
                </c:pt>
                <c:pt idx="3">
                  <c:v>Agenzie Locali</c:v>
                </c:pt>
                <c:pt idx="4">
                  <c:v>Agenzie di reti nazionali</c:v>
                </c:pt>
              </c:strCache>
            </c:strRef>
          </c:cat>
          <c:val>
            <c:numRef>
              <c:f>Foglio1!$B$2:$B$6</c:f>
              <c:numCache>
                <c:formatCode>General</c:formatCode>
                <c:ptCount val="5"/>
                <c:pt idx="0">
                  <c:v>56.5</c:v>
                </c:pt>
                <c:pt idx="1">
                  <c:v>61.3</c:v>
                </c:pt>
                <c:pt idx="2">
                  <c:v>38.700000000000003</c:v>
                </c:pt>
                <c:pt idx="3">
                  <c:v>35.5</c:v>
                </c:pt>
                <c:pt idx="4">
                  <c:v>26.6</c:v>
                </c:pt>
              </c:numCache>
            </c:numRef>
          </c:val>
        </c:ser>
        <c:ser>
          <c:idx val="1"/>
          <c:order val="1"/>
          <c:tx>
            <c:strRef>
              <c:f>Foglio1!$C$1</c:f>
              <c:strCache>
                <c:ptCount val="1"/>
                <c:pt idx="0">
                  <c:v>Altre città</c:v>
                </c:pt>
              </c:strCache>
            </c:strRef>
          </c:tx>
          <c:spPr>
            <a:solidFill>
              <a:srgbClr val="ED7D31">
                <a:alpha val="85000"/>
              </a:srgb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Foglio1!$A$2:$A$6</c:f>
              <c:strCache>
                <c:ptCount val="5"/>
                <c:pt idx="0">
                  <c:v>Geometri/Periti</c:v>
                </c:pt>
                <c:pt idx="1">
                  <c:v>Ingegneri/Architetti</c:v>
                </c:pt>
                <c:pt idx="2">
                  <c:v>Studi notarili</c:v>
                </c:pt>
                <c:pt idx="3">
                  <c:v>Agenzie Locali</c:v>
                </c:pt>
                <c:pt idx="4">
                  <c:v>Agenzie di reti nazionali</c:v>
                </c:pt>
              </c:strCache>
            </c:strRef>
          </c:cat>
          <c:val>
            <c:numRef>
              <c:f>Foglio1!$C$2:$C$6</c:f>
              <c:numCache>
                <c:formatCode>General</c:formatCode>
                <c:ptCount val="5"/>
                <c:pt idx="0">
                  <c:v>59.4</c:v>
                </c:pt>
                <c:pt idx="1">
                  <c:v>65.599999999999994</c:v>
                </c:pt>
                <c:pt idx="2">
                  <c:v>39.6</c:v>
                </c:pt>
                <c:pt idx="3">
                  <c:v>32.299999999999997</c:v>
                </c:pt>
                <c:pt idx="4">
                  <c:v>26</c:v>
                </c:pt>
              </c:numCache>
            </c:numRef>
          </c:val>
        </c:ser>
        <c:ser>
          <c:idx val="2"/>
          <c:order val="2"/>
          <c:tx>
            <c:strRef>
              <c:f>Foglio1!$D$1</c:f>
              <c:strCache>
                <c:ptCount val="1"/>
                <c:pt idx="0">
                  <c:v>Città metropolitane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Foglio1!$A$2:$A$6</c:f>
              <c:strCache>
                <c:ptCount val="5"/>
                <c:pt idx="0">
                  <c:v>Geometri/Periti</c:v>
                </c:pt>
                <c:pt idx="1">
                  <c:v>Ingegneri/Architetti</c:v>
                </c:pt>
                <c:pt idx="2">
                  <c:v>Studi notarili</c:v>
                </c:pt>
                <c:pt idx="3">
                  <c:v>Agenzie Locali</c:v>
                </c:pt>
                <c:pt idx="4">
                  <c:v>Agenzie di reti nazionali</c:v>
                </c:pt>
              </c:strCache>
            </c:strRef>
          </c:cat>
          <c:val>
            <c:numRef>
              <c:f>Foglio1!$D$2:$D$6</c:f>
              <c:numCache>
                <c:formatCode>General</c:formatCode>
                <c:ptCount val="5"/>
                <c:pt idx="0">
                  <c:v>46.4</c:v>
                </c:pt>
                <c:pt idx="1">
                  <c:v>46.4</c:v>
                </c:pt>
                <c:pt idx="2">
                  <c:v>35.700000000000003</c:v>
                </c:pt>
                <c:pt idx="3">
                  <c:v>46.4</c:v>
                </c:pt>
                <c:pt idx="4">
                  <c:v>28.6</c:v>
                </c:pt>
              </c:numCache>
            </c:numRef>
          </c:val>
        </c:ser>
        <c:dLbls>
          <c:dLblPos val="inEnd"/>
          <c:showLegendKey val="0"/>
          <c:showVal val="1"/>
          <c:showCatName val="0"/>
          <c:showSerName val="0"/>
          <c:showPercent val="0"/>
          <c:showBubbleSize val="0"/>
        </c:dLbls>
        <c:gapWidth val="65"/>
        <c:axId val="464887720"/>
        <c:axId val="464888112"/>
      </c:barChart>
      <c:catAx>
        <c:axId val="4648877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464888112"/>
        <c:crosses val="autoZero"/>
        <c:auto val="1"/>
        <c:lblAlgn val="ctr"/>
        <c:lblOffset val="100"/>
        <c:noMultiLvlLbl val="0"/>
      </c:catAx>
      <c:valAx>
        <c:axId val="46488811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crossAx val="4648877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Foglio1!$B$1</c:f>
              <c:strCache>
                <c:ptCount val="1"/>
                <c:pt idx="0">
                  <c:v>ASTE GIUDIZIARIE</c:v>
                </c:pt>
              </c:strCache>
            </c:strRef>
          </c:tx>
          <c:dPt>
            <c:idx val="0"/>
            <c:bubble3D val="0"/>
            <c:spPr>
              <a:solidFill>
                <a:srgbClr val="5B9BD5"/>
              </a:solidFill>
              <a:ln>
                <a:noFill/>
              </a:ln>
              <a:effectLst>
                <a:outerShdw blurRad="254000" sx="102000" sy="102000" algn="ctr" rotWithShape="0">
                  <a:prstClr val="black">
                    <a:alpha val="20000"/>
                  </a:prstClr>
                </a:outerShdw>
              </a:effectLst>
            </c:spPr>
          </c:dPt>
          <c:dPt>
            <c:idx val="1"/>
            <c:bubble3D val="0"/>
            <c:spPr>
              <a:solidFill>
                <a:srgbClr val="ED7D31"/>
              </a:solidFill>
              <a:ln>
                <a:noFill/>
              </a:ln>
              <a:effectLst>
                <a:outerShdw blurRad="254000" sx="102000" sy="102000" algn="ctr" rotWithShape="0">
                  <a:prstClr val="black">
                    <a:alpha val="20000"/>
                  </a:prstClr>
                </a:outerShdw>
              </a:effectLst>
            </c:spPr>
          </c:dPt>
          <c:dPt>
            <c:idx val="2"/>
            <c:bubble3D val="0"/>
            <c:spPr>
              <a:solidFill>
                <a:sysClr val="window" lastClr="FFFFFF">
                  <a:lumMod val="50000"/>
                </a:sysClr>
              </a:solidFill>
              <a:ln>
                <a:noFill/>
              </a:ln>
              <a:effectLst>
                <a:outerShdw blurRad="254000" sx="102000" sy="102000" algn="ctr" rotWithShape="0">
                  <a:prstClr val="black">
                    <a:alpha val="20000"/>
                  </a:prstClr>
                </a:outerShdw>
              </a:effectLst>
            </c:spPr>
          </c:dPt>
          <c:dLbls>
            <c:numFmt formatCode="0.0%" sourceLinked="0"/>
            <c:spPr>
              <a:noFill/>
              <a:ln>
                <a:solidFill>
                  <a:srgbClr val="5B9BD5">
                    <a:lumMod val="50000"/>
                  </a:srgbClr>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Foglio1!$A$2:$A$4</c:f>
              <c:strCache>
                <c:ptCount val="3"/>
                <c:pt idx="0">
                  <c:v>Aumento</c:v>
                </c:pt>
                <c:pt idx="1">
                  <c:v>Stabili</c:v>
                </c:pt>
                <c:pt idx="2">
                  <c:v>In diminuzione</c:v>
                </c:pt>
              </c:strCache>
            </c:strRef>
          </c:cat>
          <c:val>
            <c:numRef>
              <c:f>Foglio1!$B$2:$B$4</c:f>
              <c:numCache>
                <c:formatCode>General</c:formatCode>
                <c:ptCount val="3"/>
                <c:pt idx="0">
                  <c:v>75</c:v>
                </c:pt>
                <c:pt idx="1">
                  <c:v>12.9</c:v>
                </c:pt>
                <c:pt idx="2">
                  <c:v>12.1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it-IT"/>
          </a:p>
        </c:txPr>
      </c:legendEntry>
      <c:legendEntry>
        <c:idx val="2"/>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it-IT"/>
          </a:p>
        </c:txPr>
      </c:legendEntry>
      <c:layout>
        <c:manualLayout>
          <c:xMode val="edge"/>
          <c:yMode val="edge"/>
          <c:x val="0.72468137595874715"/>
          <c:y val="0.19272281626275314"/>
          <c:w val="0.23294065273642914"/>
          <c:h val="0.4822630692630867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Foglio1!$B$1</c:f>
              <c:strCache>
                <c:ptCount val="1"/>
                <c:pt idx="0">
                  <c:v>Città Metropolitane </c:v>
                </c:pt>
              </c:strCache>
            </c:strRef>
          </c:tx>
          <c:spPr>
            <a:solidFill>
              <a:srgbClr val="ED7D31">
                <a:alpha val="85000"/>
              </a:srgbClr>
            </a:solidFill>
            <a:ln w="9525" cap="flat" cmpd="sng" algn="ctr">
              <a:solidFill>
                <a:schemeClr val="lt1">
                  <a:alpha val="50000"/>
                </a:schemeClr>
              </a:solidFill>
              <a:round/>
            </a:ln>
            <a:effectLst/>
          </c:spPr>
          <c:invertIfNegative val="0"/>
          <c:dLbls>
            <c:dLbl>
              <c:idx val="0"/>
              <c:layout>
                <c:manualLayout>
                  <c:x val="-2.3515579071134627E-3"/>
                  <c:y val="4.613220815752461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012658227848049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302025537946996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Aumento</c:v>
                </c:pt>
                <c:pt idx="1">
                  <c:v>Stabili</c:v>
                </c:pt>
                <c:pt idx="2">
                  <c:v>In diminuzione</c:v>
                </c:pt>
              </c:strCache>
            </c:strRef>
          </c:cat>
          <c:val>
            <c:numRef>
              <c:f>Foglio1!$B$2:$B$4</c:f>
              <c:numCache>
                <c:formatCode>General</c:formatCode>
                <c:ptCount val="3"/>
                <c:pt idx="0">
                  <c:v>64.3</c:v>
                </c:pt>
                <c:pt idx="1">
                  <c:v>28.6</c:v>
                </c:pt>
                <c:pt idx="2">
                  <c:v>7.1</c:v>
                </c:pt>
              </c:numCache>
            </c:numRef>
          </c:val>
        </c:ser>
        <c:ser>
          <c:idx val="1"/>
          <c:order val="1"/>
          <c:tx>
            <c:strRef>
              <c:f>Foglio1!$C$1</c:f>
              <c:strCache>
                <c:ptCount val="1"/>
                <c:pt idx="0">
                  <c:v>Altre città</c:v>
                </c:pt>
              </c:strCache>
            </c:strRef>
          </c:tx>
          <c:spPr>
            <a:solidFill>
              <a:srgbClr val="5B9BD5">
                <a:lumMod val="75000"/>
                <a:alpha val="85000"/>
              </a:srgbClr>
            </a:solidFill>
            <a:ln w="9525" cap="flat" cmpd="sng" algn="ctr">
              <a:solidFill>
                <a:schemeClr val="lt1">
                  <a:alpha val="50000"/>
                </a:schemeClr>
              </a:solidFill>
              <a:round/>
            </a:ln>
            <a:effectLst/>
          </c:spPr>
          <c:invertIfNegative val="0"/>
          <c:dLbls>
            <c:dLbl>
              <c:idx val="0"/>
              <c:layout>
                <c:manualLayout>
                  <c:x val="2.3515579071134844E-3"/>
                  <c:y val="4.613220815752448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16094665382017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264914670476316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Aumento</c:v>
                </c:pt>
                <c:pt idx="1">
                  <c:v>Stabili</c:v>
                </c:pt>
                <c:pt idx="2">
                  <c:v>In diminuzione</c:v>
                </c:pt>
              </c:strCache>
            </c:strRef>
          </c:cat>
          <c:val>
            <c:numRef>
              <c:f>Foglio1!$C$2:$C$4</c:f>
              <c:numCache>
                <c:formatCode>General</c:formatCode>
                <c:ptCount val="3"/>
                <c:pt idx="0">
                  <c:v>78.2</c:v>
                </c:pt>
                <c:pt idx="1">
                  <c:v>8.3000000000000007</c:v>
                </c:pt>
                <c:pt idx="2">
                  <c:v>13.5</c:v>
                </c:pt>
              </c:numCache>
            </c:numRef>
          </c:val>
        </c:ser>
        <c:ser>
          <c:idx val="2"/>
          <c:order val="2"/>
          <c:tx>
            <c:strRef>
              <c:f>Foglio1!$D$1</c:f>
              <c:strCache>
                <c:ptCount val="1"/>
                <c:pt idx="0">
                  <c:v>Media Italia</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0"/>
                  <c:y val="1.0239099859352998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006888379458896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0120380522055003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Aumento</c:v>
                </c:pt>
                <c:pt idx="1">
                  <c:v>Stabili</c:v>
                </c:pt>
                <c:pt idx="2">
                  <c:v>In diminuzione</c:v>
                </c:pt>
              </c:strCache>
            </c:strRef>
          </c:cat>
          <c:val>
            <c:numRef>
              <c:f>Foglio1!$D$2:$D$4</c:f>
              <c:numCache>
                <c:formatCode>General</c:formatCode>
                <c:ptCount val="3"/>
                <c:pt idx="0">
                  <c:v>75</c:v>
                </c:pt>
                <c:pt idx="1">
                  <c:v>12.9</c:v>
                </c:pt>
                <c:pt idx="2">
                  <c:v>12.1</c:v>
                </c:pt>
              </c:numCache>
            </c:numRef>
          </c:val>
        </c:ser>
        <c:dLbls>
          <c:dLblPos val="inEnd"/>
          <c:showLegendKey val="0"/>
          <c:showVal val="1"/>
          <c:showCatName val="0"/>
          <c:showSerName val="0"/>
          <c:showPercent val="0"/>
          <c:showBubbleSize val="0"/>
        </c:dLbls>
        <c:gapWidth val="65"/>
        <c:axId val="465647368"/>
        <c:axId val="465647760"/>
      </c:barChart>
      <c:catAx>
        <c:axId val="465647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465647760"/>
        <c:crosses val="autoZero"/>
        <c:auto val="1"/>
        <c:lblAlgn val="ctr"/>
        <c:lblOffset val="100"/>
        <c:noMultiLvlLbl val="0"/>
      </c:catAx>
      <c:valAx>
        <c:axId val="465647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56473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Foglio1!$B$1</c:f>
              <c:strCache>
                <c:ptCount val="1"/>
                <c:pt idx="0">
                  <c:v>Settori a maggiore tenuta</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noFill/>
              <a:ln>
                <a:solidFill>
                  <a:schemeClr val="tx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Foglio1!$A$2:$A$9</c:f>
              <c:strCache>
                <c:ptCount val="8"/>
                <c:pt idx="0">
                  <c:v>Turismo </c:v>
                </c:pt>
                <c:pt idx="1">
                  <c:v>Agroalimentare</c:v>
                </c:pt>
                <c:pt idx="2">
                  <c:v>Logistica</c:v>
                </c:pt>
                <c:pt idx="3">
                  <c:v>Consulenze</c:v>
                </c:pt>
                <c:pt idx="4">
                  <c:v>Piccolo Commercio</c:v>
                </c:pt>
                <c:pt idx="5">
                  <c:v>Manifatturiero</c:v>
                </c:pt>
                <c:pt idx="6">
                  <c:v>GDO</c:v>
                </c:pt>
                <c:pt idx="7">
                  <c:v>Costruzioni</c:v>
                </c:pt>
              </c:strCache>
            </c:strRef>
          </c:cat>
          <c:val>
            <c:numRef>
              <c:f>Foglio1!$B$2:$B$9</c:f>
              <c:numCache>
                <c:formatCode>General</c:formatCode>
                <c:ptCount val="8"/>
                <c:pt idx="0">
                  <c:v>43.5</c:v>
                </c:pt>
                <c:pt idx="1">
                  <c:v>37.1</c:v>
                </c:pt>
                <c:pt idx="2">
                  <c:v>18.5</c:v>
                </c:pt>
                <c:pt idx="3">
                  <c:v>16.899999999999999</c:v>
                </c:pt>
                <c:pt idx="4">
                  <c:v>11.3</c:v>
                </c:pt>
                <c:pt idx="5">
                  <c:v>9.6999999999999993</c:v>
                </c:pt>
                <c:pt idx="6">
                  <c:v>9.6999999999999993</c:v>
                </c:pt>
                <c:pt idx="7">
                  <c:v>9.6999999999999993</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728520046105353"/>
          <c:y val="0.1082030284675954"/>
          <c:w val="0.2021445467464715"/>
          <c:h val="0.8082090046436503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it-IT" sz="1050"/>
              <a:t>Settori con maggiore capacità di tenuta e rilancio </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Foglio1!$B$1</c:f>
              <c:strCache>
                <c:ptCount val="1"/>
                <c:pt idx="0">
                  <c:v>ITALIA</c:v>
                </c:pt>
              </c:strCache>
            </c:strRef>
          </c:tx>
          <c:spPr>
            <a:solidFill>
              <a:schemeClr val="accent1"/>
            </a:solidFill>
            <a:ln>
              <a:noFill/>
            </a:ln>
            <a:effectLst/>
          </c:spPr>
          <c:invertIfNegative val="0"/>
          <c:cat>
            <c:strRef>
              <c:f>Foglio1!$A$2:$A$6</c:f>
              <c:strCache>
                <c:ptCount val="5"/>
                <c:pt idx="0">
                  <c:v>Commercio diffuso</c:v>
                </c:pt>
                <c:pt idx="1">
                  <c:v>Servizi professionali/Consulenze</c:v>
                </c:pt>
                <c:pt idx="2">
                  <c:v>Logistica/Trasporti</c:v>
                </c:pt>
                <c:pt idx="3">
                  <c:v>Agroalimentare/Agricoltuta</c:v>
                </c:pt>
                <c:pt idx="4">
                  <c:v>Turismo</c:v>
                </c:pt>
              </c:strCache>
            </c:strRef>
          </c:cat>
          <c:val>
            <c:numRef>
              <c:f>Foglio1!$B$2:$B$6</c:f>
              <c:numCache>
                <c:formatCode>General</c:formatCode>
                <c:ptCount val="5"/>
                <c:pt idx="0">
                  <c:v>11.3</c:v>
                </c:pt>
                <c:pt idx="1">
                  <c:v>16.899999999999999</c:v>
                </c:pt>
                <c:pt idx="2">
                  <c:v>18.5</c:v>
                </c:pt>
                <c:pt idx="3">
                  <c:v>37.1</c:v>
                </c:pt>
                <c:pt idx="4">
                  <c:v>43.5</c:v>
                </c:pt>
              </c:numCache>
            </c:numRef>
          </c:val>
        </c:ser>
        <c:ser>
          <c:idx val="1"/>
          <c:order val="1"/>
          <c:tx>
            <c:strRef>
              <c:f>Foglio1!$C$1</c:f>
              <c:strCache>
                <c:ptCount val="1"/>
                <c:pt idx="0">
                  <c:v>Sud</c:v>
                </c:pt>
              </c:strCache>
            </c:strRef>
          </c:tx>
          <c:spPr>
            <a:solidFill>
              <a:schemeClr val="accent2"/>
            </a:solidFill>
            <a:ln>
              <a:noFill/>
            </a:ln>
            <a:effectLst/>
          </c:spPr>
          <c:invertIfNegative val="0"/>
          <c:cat>
            <c:strRef>
              <c:f>Foglio1!$A$2:$A$6</c:f>
              <c:strCache>
                <c:ptCount val="5"/>
                <c:pt idx="0">
                  <c:v>Commercio diffuso</c:v>
                </c:pt>
                <c:pt idx="1">
                  <c:v>Servizi professionali/Consulenze</c:v>
                </c:pt>
                <c:pt idx="2">
                  <c:v>Logistica/Trasporti</c:v>
                </c:pt>
                <c:pt idx="3">
                  <c:v>Agroalimentare/Agricoltuta</c:v>
                </c:pt>
                <c:pt idx="4">
                  <c:v>Turismo</c:v>
                </c:pt>
              </c:strCache>
            </c:strRef>
          </c:cat>
          <c:val>
            <c:numRef>
              <c:f>Foglio1!$C$2:$C$6</c:f>
              <c:numCache>
                <c:formatCode>General</c:formatCode>
                <c:ptCount val="5"/>
                <c:pt idx="0">
                  <c:v>16.7</c:v>
                </c:pt>
                <c:pt idx="1">
                  <c:v>7.1</c:v>
                </c:pt>
                <c:pt idx="2">
                  <c:v>14.3</c:v>
                </c:pt>
                <c:pt idx="3">
                  <c:v>40.5</c:v>
                </c:pt>
                <c:pt idx="4">
                  <c:v>54.8</c:v>
                </c:pt>
              </c:numCache>
            </c:numRef>
          </c:val>
        </c:ser>
        <c:ser>
          <c:idx val="2"/>
          <c:order val="2"/>
          <c:tx>
            <c:strRef>
              <c:f>Foglio1!$D$1</c:f>
              <c:strCache>
                <c:ptCount val="1"/>
                <c:pt idx="0">
                  <c:v>Centro</c:v>
                </c:pt>
              </c:strCache>
            </c:strRef>
          </c:tx>
          <c:spPr>
            <a:solidFill>
              <a:schemeClr val="accent3"/>
            </a:solidFill>
            <a:ln>
              <a:noFill/>
            </a:ln>
            <a:effectLst/>
          </c:spPr>
          <c:invertIfNegative val="0"/>
          <c:cat>
            <c:strRef>
              <c:f>Foglio1!$A$2:$A$6</c:f>
              <c:strCache>
                <c:ptCount val="5"/>
                <c:pt idx="0">
                  <c:v>Commercio diffuso</c:v>
                </c:pt>
                <c:pt idx="1">
                  <c:v>Servizi professionali/Consulenze</c:v>
                </c:pt>
                <c:pt idx="2">
                  <c:v>Logistica/Trasporti</c:v>
                </c:pt>
                <c:pt idx="3">
                  <c:v>Agroalimentare/Agricoltuta</c:v>
                </c:pt>
                <c:pt idx="4">
                  <c:v>Turismo</c:v>
                </c:pt>
              </c:strCache>
            </c:strRef>
          </c:cat>
          <c:val>
            <c:numRef>
              <c:f>Foglio1!$D$2:$D$6</c:f>
              <c:numCache>
                <c:formatCode>General</c:formatCode>
                <c:ptCount val="5"/>
                <c:pt idx="0">
                  <c:v>10.7</c:v>
                </c:pt>
                <c:pt idx="1">
                  <c:v>25</c:v>
                </c:pt>
                <c:pt idx="2">
                  <c:v>10.7</c:v>
                </c:pt>
                <c:pt idx="3">
                  <c:v>39.299999999999997</c:v>
                </c:pt>
                <c:pt idx="4">
                  <c:v>50</c:v>
                </c:pt>
              </c:numCache>
            </c:numRef>
          </c:val>
        </c:ser>
        <c:ser>
          <c:idx val="3"/>
          <c:order val="3"/>
          <c:tx>
            <c:strRef>
              <c:f>Foglio1!$E$1</c:f>
              <c:strCache>
                <c:ptCount val="1"/>
                <c:pt idx="0">
                  <c:v>Nord</c:v>
                </c:pt>
              </c:strCache>
            </c:strRef>
          </c:tx>
          <c:spPr>
            <a:solidFill>
              <a:schemeClr val="accent4"/>
            </a:solidFill>
            <a:ln>
              <a:noFill/>
            </a:ln>
            <a:effectLst/>
          </c:spPr>
          <c:invertIfNegative val="0"/>
          <c:cat>
            <c:strRef>
              <c:f>Foglio1!$A$2:$A$6</c:f>
              <c:strCache>
                <c:ptCount val="5"/>
                <c:pt idx="0">
                  <c:v>Commercio diffuso</c:v>
                </c:pt>
                <c:pt idx="1">
                  <c:v>Servizi professionali/Consulenze</c:v>
                </c:pt>
                <c:pt idx="2">
                  <c:v>Logistica/Trasporti</c:v>
                </c:pt>
                <c:pt idx="3">
                  <c:v>Agroalimentare/Agricoltuta</c:v>
                </c:pt>
                <c:pt idx="4">
                  <c:v>Turismo</c:v>
                </c:pt>
              </c:strCache>
            </c:strRef>
          </c:cat>
          <c:val>
            <c:numRef>
              <c:f>Foglio1!$E$2:$E$6</c:f>
              <c:numCache>
                <c:formatCode>General</c:formatCode>
                <c:ptCount val="5"/>
                <c:pt idx="0">
                  <c:v>7.4</c:v>
                </c:pt>
                <c:pt idx="1">
                  <c:v>20.399999999999999</c:v>
                </c:pt>
                <c:pt idx="2">
                  <c:v>25.9</c:v>
                </c:pt>
                <c:pt idx="3">
                  <c:v>33.299999999999997</c:v>
                </c:pt>
                <c:pt idx="4">
                  <c:v>43.5</c:v>
                </c:pt>
              </c:numCache>
            </c:numRef>
          </c:val>
        </c:ser>
        <c:dLbls>
          <c:showLegendKey val="0"/>
          <c:showVal val="0"/>
          <c:showCatName val="0"/>
          <c:showSerName val="0"/>
          <c:showPercent val="0"/>
          <c:showBubbleSize val="0"/>
        </c:dLbls>
        <c:gapWidth val="182"/>
        <c:axId val="465648936"/>
        <c:axId val="464200536"/>
      </c:barChart>
      <c:catAx>
        <c:axId val="465648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crossAx val="464200536"/>
        <c:crosses val="autoZero"/>
        <c:auto val="1"/>
        <c:lblAlgn val="ctr"/>
        <c:lblOffset val="100"/>
        <c:noMultiLvlLbl val="0"/>
      </c:catAx>
      <c:valAx>
        <c:axId val="464200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65648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it-IT" sz="1050"/>
              <a:t>Settori con maggiore capacità di tenuta e rilancio</a:t>
            </a:r>
          </a:p>
        </c:rich>
      </c:tx>
      <c:overlay val="0"/>
      <c:spPr>
        <a:noFill/>
        <a:ln>
          <a:noFill/>
        </a:ln>
        <a:effectLst/>
      </c:spPr>
    </c:title>
    <c:autoTitleDeleted val="0"/>
    <c:plotArea>
      <c:layout>
        <c:manualLayout>
          <c:layoutTarget val="inner"/>
          <c:xMode val="edge"/>
          <c:yMode val="edge"/>
          <c:x val="2.5623107384113674E-2"/>
          <c:y val="0.20927099841521393"/>
          <c:w val="0.94409503843466103"/>
          <c:h val="0.29896146598949297"/>
        </c:manualLayout>
      </c:layout>
      <c:barChart>
        <c:barDir val="col"/>
        <c:grouping val="clustered"/>
        <c:varyColors val="0"/>
        <c:ser>
          <c:idx val="0"/>
          <c:order val="0"/>
          <c:tx>
            <c:strRef>
              <c:f>Foglio1!$B$1</c:f>
              <c:strCache>
                <c:ptCount val="1"/>
                <c:pt idx="0">
                  <c:v>Città Metropolitane </c:v>
                </c:pt>
              </c:strCache>
            </c:strRef>
          </c:tx>
          <c:spPr>
            <a:solidFill>
              <a:schemeClr val="accent1"/>
            </a:solidFill>
            <a:ln>
              <a:noFill/>
            </a:ln>
            <a:effectLst/>
          </c:spPr>
          <c:invertIfNegative val="0"/>
          <c:dLbls>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Foglio1!$A$2:$A$6</c:f>
              <c:strCache>
                <c:ptCount val="5"/>
                <c:pt idx="0">
                  <c:v>Turismo</c:v>
                </c:pt>
                <c:pt idx="1">
                  <c:v>Agroalimentare/Agricoltura</c:v>
                </c:pt>
                <c:pt idx="2">
                  <c:v>Logistica/Trasporti</c:v>
                </c:pt>
                <c:pt idx="3">
                  <c:v>Professioni/Consulenze</c:v>
                </c:pt>
                <c:pt idx="4">
                  <c:v>Commercio diffuso</c:v>
                </c:pt>
              </c:strCache>
            </c:strRef>
          </c:cat>
          <c:val>
            <c:numRef>
              <c:f>Foglio1!$B$2:$B$6</c:f>
              <c:numCache>
                <c:formatCode>General</c:formatCode>
                <c:ptCount val="5"/>
                <c:pt idx="0">
                  <c:v>53.6</c:v>
                </c:pt>
                <c:pt idx="1">
                  <c:v>17.899999999999999</c:v>
                </c:pt>
                <c:pt idx="2">
                  <c:v>21.4</c:v>
                </c:pt>
                <c:pt idx="3">
                  <c:v>17.899999999999999</c:v>
                </c:pt>
                <c:pt idx="4">
                  <c:v>3.6</c:v>
                </c:pt>
              </c:numCache>
            </c:numRef>
          </c:val>
        </c:ser>
        <c:ser>
          <c:idx val="1"/>
          <c:order val="1"/>
          <c:tx>
            <c:strRef>
              <c:f>Foglio1!$C$1</c:f>
              <c:strCache>
                <c:ptCount val="1"/>
                <c:pt idx="0">
                  <c:v>Altre città</c:v>
                </c:pt>
              </c:strCache>
            </c:strRef>
          </c:tx>
          <c:spPr>
            <a:solidFill>
              <a:schemeClr val="accent2"/>
            </a:solidFill>
            <a:ln>
              <a:noFill/>
            </a:ln>
            <a:effectLst/>
          </c:spPr>
          <c:invertIfNegative val="0"/>
          <c:dLbls>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Foglio1!$A$2:$A$6</c:f>
              <c:strCache>
                <c:ptCount val="5"/>
                <c:pt idx="0">
                  <c:v>Turismo</c:v>
                </c:pt>
                <c:pt idx="1">
                  <c:v>Agroalimentare/Agricoltura</c:v>
                </c:pt>
                <c:pt idx="2">
                  <c:v>Logistica/Trasporti</c:v>
                </c:pt>
                <c:pt idx="3">
                  <c:v>Professioni/Consulenze</c:v>
                </c:pt>
                <c:pt idx="4">
                  <c:v>Commercio diffuso</c:v>
                </c:pt>
              </c:strCache>
            </c:strRef>
          </c:cat>
          <c:val>
            <c:numRef>
              <c:f>Foglio1!$C$2:$C$6</c:f>
              <c:numCache>
                <c:formatCode>General</c:formatCode>
                <c:ptCount val="5"/>
                <c:pt idx="0">
                  <c:v>40.6</c:v>
                </c:pt>
                <c:pt idx="1">
                  <c:v>42.7</c:v>
                </c:pt>
                <c:pt idx="2">
                  <c:v>17.7</c:v>
                </c:pt>
                <c:pt idx="3">
                  <c:v>16.7</c:v>
                </c:pt>
                <c:pt idx="4">
                  <c:v>13.5</c:v>
                </c:pt>
              </c:numCache>
            </c:numRef>
          </c:val>
        </c:ser>
        <c:dLbls>
          <c:showLegendKey val="0"/>
          <c:showVal val="0"/>
          <c:showCatName val="0"/>
          <c:showSerName val="0"/>
          <c:showPercent val="0"/>
          <c:showBubbleSize val="0"/>
        </c:dLbls>
        <c:gapWidth val="219"/>
        <c:overlap val="-27"/>
        <c:axId val="464211800"/>
        <c:axId val="464212192"/>
      </c:barChart>
      <c:catAx>
        <c:axId val="46421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crossAx val="464212192"/>
        <c:crosses val="autoZero"/>
        <c:auto val="1"/>
        <c:lblAlgn val="ctr"/>
        <c:lblOffset val="100"/>
        <c:noMultiLvlLbl val="0"/>
      </c:catAx>
      <c:valAx>
        <c:axId val="464212192"/>
        <c:scaling>
          <c:orientation val="minMax"/>
        </c:scaling>
        <c:delete val="1"/>
        <c:axPos val="l"/>
        <c:numFmt formatCode="General" sourceLinked="1"/>
        <c:majorTickMark val="none"/>
        <c:minorTickMark val="none"/>
        <c:tickLblPos val="nextTo"/>
        <c:crossAx val="464211800"/>
        <c:crosses val="autoZero"/>
        <c:crossBetween val="between"/>
      </c:valAx>
      <c:spPr>
        <a:noFill/>
        <a:ln>
          <a:noFill/>
        </a:ln>
        <a:effectLst/>
      </c:spPr>
    </c:plotArea>
    <c:legend>
      <c:legendPos val="b"/>
      <c:layout>
        <c:manualLayout>
          <c:xMode val="edge"/>
          <c:yMode val="edge"/>
          <c:x val="0.52529767392643079"/>
          <c:y val="0.16098647413482264"/>
          <c:w val="0.36833751259477004"/>
          <c:h val="7.1911006631285052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Foglio1!$B$1</c:f>
              <c:strCache>
                <c:ptCount val="1"/>
                <c:pt idx="0">
                  <c:v>ITALIA</c:v>
                </c:pt>
              </c:strCache>
            </c:strRef>
          </c:tx>
          <c:spPr>
            <a:solidFill>
              <a:schemeClr val="accent6">
                <a:lumMod val="50000"/>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1">
                  <a:alpha val="85000"/>
                </a:schemeClr>
              </a:solidFill>
              <a:ln w="9525" cap="flat" cmpd="sng" algn="ctr">
                <a:solidFill>
                  <a:schemeClr val="lt1">
                    <a:alpha val="50000"/>
                  </a:schemeClr>
                </a:solidFill>
                <a:round/>
              </a:ln>
              <a:effectLst/>
            </c:spPr>
          </c:dPt>
          <c:dPt>
            <c:idx val="1"/>
            <c:invertIfNegative val="0"/>
            <c:bubble3D val="0"/>
            <c:spPr>
              <a:solidFill>
                <a:schemeClr val="accent1">
                  <a:alpha val="85000"/>
                </a:schemeClr>
              </a:solidFill>
              <a:ln w="9525" cap="flat" cmpd="sng" algn="ctr">
                <a:solidFill>
                  <a:schemeClr val="lt1">
                    <a:alpha val="50000"/>
                  </a:schemeClr>
                </a:solidFill>
                <a:round/>
              </a:ln>
              <a:effectLst/>
            </c:spPr>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Foglio1!$A$2:$A$3</c:f>
              <c:strCache>
                <c:ptCount val="2"/>
                <c:pt idx="0">
                  <c:v>Rigenerazione Urbana</c:v>
                </c:pt>
                <c:pt idx="1">
                  <c:v>Nuovi interventi</c:v>
                </c:pt>
              </c:strCache>
            </c:strRef>
          </c:cat>
          <c:val>
            <c:numRef>
              <c:f>Foglio1!$B$2:$B$3</c:f>
              <c:numCache>
                <c:formatCode>General</c:formatCode>
                <c:ptCount val="2"/>
                <c:pt idx="0">
                  <c:v>67</c:v>
                </c:pt>
                <c:pt idx="1">
                  <c:v>63</c:v>
                </c:pt>
              </c:numCache>
            </c:numRef>
          </c:val>
        </c:ser>
        <c:ser>
          <c:idx val="1"/>
          <c:order val="1"/>
          <c:tx>
            <c:strRef>
              <c:f>Foglio1!$C$1</c:f>
              <c:strCache>
                <c:ptCount val="1"/>
                <c:pt idx="0">
                  <c:v>Sud</c:v>
                </c:pt>
              </c:strCache>
            </c:strRef>
          </c:tx>
          <c:spPr>
            <a:solidFill>
              <a:schemeClr val="accent2">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Foglio1!$A$2:$A$3</c:f>
              <c:strCache>
                <c:ptCount val="2"/>
                <c:pt idx="0">
                  <c:v>Rigenerazione Urbana</c:v>
                </c:pt>
                <c:pt idx="1">
                  <c:v>Nuovi interventi</c:v>
                </c:pt>
              </c:strCache>
            </c:strRef>
          </c:cat>
          <c:val>
            <c:numRef>
              <c:f>Foglio1!$C$2:$C$3</c:f>
              <c:numCache>
                <c:formatCode>General</c:formatCode>
                <c:ptCount val="2"/>
                <c:pt idx="0">
                  <c:v>48</c:v>
                </c:pt>
                <c:pt idx="1">
                  <c:v>52</c:v>
                </c:pt>
              </c:numCache>
            </c:numRef>
          </c:val>
        </c:ser>
        <c:ser>
          <c:idx val="2"/>
          <c:order val="2"/>
          <c:tx>
            <c:strRef>
              <c:f>Foglio1!$D$1</c:f>
              <c:strCache>
                <c:ptCount val="1"/>
                <c:pt idx="0">
                  <c:v>Centro</c:v>
                </c:pt>
              </c:strCache>
            </c:strRef>
          </c:tx>
          <c:spPr>
            <a:solidFill>
              <a:schemeClr val="accent3">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Foglio1!$A$2:$A$3</c:f>
              <c:strCache>
                <c:ptCount val="2"/>
                <c:pt idx="0">
                  <c:v>Rigenerazione Urbana</c:v>
                </c:pt>
                <c:pt idx="1">
                  <c:v>Nuovi interventi</c:v>
                </c:pt>
              </c:strCache>
            </c:strRef>
          </c:cat>
          <c:val>
            <c:numRef>
              <c:f>Foglio1!$D$2:$D$3</c:f>
              <c:numCache>
                <c:formatCode>General</c:formatCode>
                <c:ptCount val="2"/>
                <c:pt idx="0">
                  <c:v>79</c:v>
                </c:pt>
                <c:pt idx="1">
                  <c:v>68</c:v>
                </c:pt>
              </c:numCache>
            </c:numRef>
          </c:val>
        </c:ser>
        <c:ser>
          <c:idx val="3"/>
          <c:order val="3"/>
          <c:tx>
            <c:strRef>
              <c:f>Foglio1!$E$1</c:f>
              <c:strCache>
                <c:ptCount val="1"/>
                <c:pt idx="0">
                  <c:v>Nord</c:v>
                </c:pt>
              </c:strCache>
            </c:strRef>
          </c:tx>
          <c:spPr>
            <a:solidFill>
              <a:schemeClr val="accent4">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Foglio1!$A$2:$A$3</c:f>
              <c:strCache>
                <c:ptCount val="2"/>
                <c:pt idx="0">
                  <c:v>Rigenerazione Urbana</c:v>
                </c:pt>
                <c:pt idx="1">
                  <c:v>Nuovi interventi</c:v>
                </c:pt>
              </c:strCache>
            </c:strRef>
          </c:cat>
          <c:val>
            <c:numRef>
              <c:f>Foglio1!$E$2:$E$3</c:f>
              <c:numCache>
                <c:formatCode>General</c:formatCode>
                <c:ptCount val="2"/>
                <c:pt idx="0">
                  <c:v>76</c:v>
                </c:pt>
                <c:pt idx="1">
                  <c:v>68</c:v>
                </c:pt>
              </c:numCache>
            </c:numRef>
          </c:val>
        </c:ser>
        <c:dLbls>
          <c:dLblPos val="inEnd"/>
          <c:showLegendKey val="0"/>
          <c:showVal val="1"/>
          <c:showCatName val="0"/>
          <c:showSerName val="0"/>
          <c:showPercent val="0"/>
          <c:showBubbleSize val="0"/>
        </c:dLbls>
        <c:gapWidth val="65"/>
        <c:axId val="464838544"/>
        <c:axId val="464838936"/>
      </c:barChart>
      <c:catAx>
        <c:axId val="4648385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464838936"/>
        <c:crosses val="autoZero"/>
        <c:auto val="1"/>
        <c:lblAlgn val="ctr"/>
        <c:lblOffset val="100"/>
        <c:noMultiLvlLbl val="0"/>
      </c:catAx>
      <c:valAx>
        <c:axId val="4648389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crossAx val="4648385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4109347442680775E-2"/>
          <c:y val="5.4849164796808778E-2"/>
          <c:w val="0.97648442092886534"/>
          <c:h val="0.68783326167998637"/>
        </c:manualLayout>
      </c:layout>
      <c:barChart>
        <c:barDir val="col"/>
        <c:grouping val="clustered"/>
        <c:varyColors val="0"/>
        <c:ser>
          <c:idx val="0"/>
          <c:order val="0"/>
          <c:tx>
            <c:strRef>
              <c:f>Foglio1!$B$1</c:f>
              <c:strCache>
                <c:ptCount val="1"/>
                <c:pt idx="0">
                  <c:v>Residenziale</c:v>
                </c:pt>
              </c:strCache>
            </c:strRef>
          </c:tx>
          <c:spPr>
            <a:solidFill>
              <a:schemeClr val="accent1">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Nuovo</c:v>
                </c:pt>
                <c:pt idx="2">
                  <c:v>Rigenerazione Urbana</c:v>
                </c:pt>
              </c:strCache>
            </c:strRef>
          </c:cat>
          <c:val>
            <c:numRef>
              <c:f>Foglio1!$B$2:$B$4</c:f>
              <c:numCache>
                <c:formatCode>General</c:formatCode>
                <c:ptCount val="3"/>
                <c:pt idx="0">
                  <c:v>52</c:v>
                </c:pt>
                <c:pt idx="2">
                  <c:v>49</c:v>
                </c:pt>
              </c:numCache>
            </c:numRef>
          </c:val>
        </c:ser>
        <c:ser>
          <c:idx val="1"/>
          <c:order val="1"/>
          <c:tx>
            <c:strRef>
              <c:f>Foglio1!$C$1</c:f>
              <c:strCache>
                <c:ptCount val="1"/>
                <c:pt idx="0">
                  <c:v>Ad uso misto</c:v>
                </c:pt>
              </c:strCache>
            </c:strRef>
          </c:tx>
          <c:spPr>
            <a:solidFill>
              <a:schemeClr val="accent2">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Nuovo</c:v>
                </c:pt>
                <c:pt idx="2">
                  <c:v>Rigenerazione Urbana</c:v>
                </c:pt>
              </c:strCache>
            </c:strRef>
          </c:cat>
          <c:val>
            <c:numRef>
              <c:f>Foglio1!$C$2:$C$4</c:f>
              <c:numCache>
                <c:formatCode>General</c:formatCode>
                <c:ptCount val="3"/>
                <c:pt idx="0">
                  <c:v>15</c:v>
                </c:pt>
                <c:pt idx="2">
                  <c:v>19</c:v>
                </c:pt>
              </c:numCache>
            </c:numRef>
          </c:val>
        </c:ser>
        <c:ser>
          <c:idx val="2"/>
          <c:order val="2"/>
          <c:tx>
            <c:strRef>
              <c:f>Foglio1!$D$1</c:f>
              <c:strCache>
                <c:ptCount val="1"/>
                <c:pt idx="0">
                  <c:v>Centri commerciali</c:v>
                </c:pt>
              </c:strCache>
            </c:strRef>
          </c:tx>
          <c:spPr>
            <a:solidFill>
              <a:schemeClr val="accent3">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Nuovo</c:v>
                </c:pt>
                <c:pt idx="2">
                  <c:v>Rigenerazione Urbana</c:v>
                </c:pt>
              </c:strCache>
            </c:strRef>
          </c:cat>
          <c:val>
            <c:numRef>
              <c:f>Foglio1!$D$2:$D$4</c:f>
              <c:numCache>
                <c:formatCode>General</c:formatCode>
                <c:ptCount val="3"/>
                <c:pt idx="0">
                  <c:v>19</c:v>
                </c:pt>
                <c:pt idx="2">
                  <c:v>8</c:v>
                </c:pt>
              </c:numCache>
            </c:numRef>
          </c:val>
        </c:ser>
        <c:ser>
          <c:idx val="3"/>
          <c:order val="3"/>
          <c:tx>
            <c:strRef>
              <c:f>Foglio1!$E$1</c:f>
              <c:strCache>
                <c:ptCount val="1"/>
                <c:pt idx="0">
                  <c:v>Uffici</c:v>
                </c:pt>
              </c:strCache>
            </c:strRef>
          </c:tx>
          <c:spPr>
            <a:solidFill>
              <a:schemeClr val="accent4">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Nuovo</c:v>
                </c:pt>
                <c:pt idx="2">
                  <c:v>Rigenerazione Urbana</c:v>
                </c:pt>
              </c:strCache>
            </c:strRef>
          </c:cat>
          <c:val>
            <c:numRef>
              <c:f>Foglio1!$E$2:$E$4</c:f>
              <c:numCache>
                <c:formatCode>General</c:formatCode>
                <c:ptCount val="3"/>
                <c:pt idx="0">
                  <c:v>5</c:v>
                </c:pt>
                <c:pt idx="2">
                  <c:v>5</c:v>
                </c:pt>
              </c:numCache>
            </c:numRef>
          </c:val>
        </c:ser>
        <c:ser>
          <c:idx val="4"/>
          <c:order val="4"/>
          <c:tx>
            <c:strRef>
              <c:f>Foglio1!$F$1</c:f>
              <c:strCache>
                <c:ptCount val="1"/>
                <c:pt idx="0">
                  <c:v>Logistica</c:v>
                </c:pt>
              </c:strCache>
            </c:strRef>
          </c:tx>
          <c:spPr>
            <a:solidFill>
              <a:schemeClr val="accent1">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Foglio1!$A$2:$A$4</c:f>
              <c:strCache>
                <c:ptCount val="3"/>
                <c:pt idx="0">
                  <c:v>Nuovo</c:v>
                </c:pt>
                <c:pt idx="2">
                  <c:v>Rigenerazione Urbana</c:v>
                </c:pt>
              </c:strCache>
            </c:strRef>
          </c:cat>
          <c:val>
            <c:numRef>
              <c:f>Foglio1!$F$2:$F$4</c:f>
              <c:numCache>
                <c:formatCode>General</c:formatCode>
                <c:ptCount val="3"/>
                <c:pt idx="0">
                  <c:v>2</c:v>
                </c:pt>
                <c:pt idx="2">
                  <c:v>2</c:v>
                </c:pt>
              </c:numCache>
            </c:numRef>
          </c:val>
        </c:ser>
        <c:dLbls>
          <c:dLblPos val="inEnd"/>
          <c:showLegendKey val="0"/>
          <c:showVal val="1"/>
          <c:showCatName val="0"/>
          <c:showSerName val="0"/>
          <c:showPercent val="0"/>
          <c:showBubbleSize val="0"/>
        </c:dLbls>
        <c:gapWidth val="57"/>
        <c:axId val="464839720"/>
        <c:axId val="464222040"/>
      </c:barChart>
      <c:catAx>
        <c:axId val="4648397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mn-lt"/>
                <a:ea typeface="+mn-ea"/>
                <a:cs typeface="+mn-cs"/>
              </a:defRPr>
            </a:pPr>
            <a:endParaRPr lang="it-IT"/>
          </a:p>
        </c:txPr>
        <c:crossAx val="464222040"/>
        <c:crosses val="autoZero"/>
        <c:auto val="1"/>
        <c:lblAlgn val="ctr"/>
        <c:lblOffset val="100"/>
        <c:noMultiLvlLbl val="0"/>
      </c:catAx>
      <c:valAx>
        <c:axId val="464222040"/>
        <c:scaling>
          <c:orientation val="minMax"/>
        </c:scaling>
        <c:delete val="1"/>
        <c:axPos val="l"/>
        <c:numFmt formatCode="General" sourceLinked="1"/>
        <c:majorTickMark val="none"/>
        <c:minorTickMark val="none"/>
        <c:tickLblPos val="nextTo"/>
        <c:crossAx val="4648397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it-IT" sz="1050"/>
              <a:t>Giudizio sul grado d'efficienza di Uffici pubblici d'interesse dell'immobiliare </a:t>
            </a:r>
            <a:r>
              <a:rPr lang="it-IT" sz="1050" b="0"/>
              <a:t>(% di rispondenti "buono e ottimo") </a:t>
            </a:r>
          </a:p>
        </c:rich>
      </c:tx>
      <c:layout>
        <c:manualLayout>
          <c:xMode val="edge"/>
          <c:yMode val="edge"/>
          <c:x val="0.13408747137268551"/>
          <c:y val="3.8202040148404434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it-IT"/>
        </a:p>
      </c:txPr>
    </c:title>
    <c:autoTitleDeleted val="0"/>
    <c:plotArea>
      <c:layout>
        <c:manualLayout>
          <c:layoutTarget val="inner"/>
          <c:xMode val="edge"/>
          <c:yMode val="edge"/>
          <c:x val="2.8218339625016894E-2"/>
          <c:y val="0.34572677192857004"/>
          <c:w val="0.94826572604350379"/>
          <c:h val="0.47609990071534458"/>
        </c:manualLayout>
      </c:layout>
      <c:barChart>
        <c:barDir val="col"/>
        <c:grouping val="clustered"/>
        <c:varyColors val="0"/>
        <c:ser>
          <c:idx val="0"/>
          <c:order val="0"/>
          <c:tx>
            <c:strRef>
              <c:f>Foglio1!$B$1</c:f>
              <c:strCache>
                <c:ptCount val="1"/>
                <c:pt idx="0">
                  <c:v>Città metropolitane</c:v>
                </c:pt>
              </c:strCache>
            </c:strRef>
          </c:tx>
          <c:spPr>
            <a:solidFill>
              <a:schemeClr val="accent1">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Foglio1!$A$2:$A$5</c:f>
              <c:strCache>
                <c:ptCount val="4"/>
                <c:pt idx="0">
                  <c:v>Uffici del Catasto</c:v>
                </c:pt>
                <c:pt idx="1">
                  <c:v>Ufficio del Registro</c:v>
                </c:pt>
                <c:pt idx="2">
                  <c:v>Uffici tecnici comunali</c:v>
                </c:pt>
                <c:pt idx="3">
                  <c:v>Uffici giudiziari</c:v>
                </c:pt>
              </c:strCache>
            </c:strRef>
          </c:cat>
          <c:val>
            <c:numRef>
              <c:f>Foglio1!$B$2:$B$5</c:f>
              <c:numCache>
                <c:formatCode>General</c:formatCode>
                <c:ptCount val="4"/>
                <c:pt idx="0">
                  <c:v>61</c:v>
                </c:pt>
                <c:pt idx="1">
                  <c:v>39</c:v>
                </c:pt>
                <c:pt idx="2">
                  <c:v>39</c:v>
                </c:pt>
                <c:pt idx="3">
                  <c:v>32</c:v>
                </c:pt>
              </c:numCache>
            </c:numRef>
          </c:val>
        </c:ser>
        <c:ser>
          <c:idx val="1"/>
          <c:order val="1"/>
          <c:tx>
            <c:strRef>
              <c:f>Foglio1!$C$1</c:f>
              <c:strCache>
                <c:ptCount val="1"/>
                <c:pt idx="0">
                  <c:v>Altre Città</c:v>
                </c:pt>
              </c:strCache>
            </c:strRef>
          </c:tx>
          <c:spPr>
            <a:solidFill>
              <a:schemeClr val="accent2">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Foglio1!$A$2:$A$5</c:f>
              <c:strCache>
                <c:ptCount val="4"/>
                <c:pt idx="0">
                  <c:v>Uffici del Catasto</c:v>
                </c:pt>
                <c:pt idx="1">
                  <c:v>Ufficio del Registro</c:v>
                </c:pt>
                <c:pt idx="2">
                  <c:v>Uffici tecnici comunali</c:v>
                </c:pt>
                <c:pt idx="3">
                  <c:v>Uffici giudiziari</c:v>
                </c:pt>
              </c:strCache>
            </c:strRef>
          </c:cat>
          <c:val>
            <c:numRef>
              <c:f>Foglio1!$C$2:$C$5</c:f>
              <c:numCache>
                <c:formatCode>General</c:formatCode>
                <c:ptCount val="4"/>
                <c:pt idx="0">
                  <c:v>66</c:v>
                </c:pt>
                <c:pt idx="1">
                  <c:v>59</c:v>
                </c:pt>
                <c:pt idx="2">
                  <c:v>43</c:v>
                </c:pt>
                <c:pt idx="3">
                  <c:v>22</c:v>
                </c:pt>
              </c:numCache>
            </c:numRef>
          </c:val>
        </c:ser>
        <c:ser>
          <c:idx val="2"/>
          <c:order val="2"/>
          <c:tx>
            <c:strRef>
              <c:f>Foglio1!$D$1</c:f>
              <c:strCache>
                <c:ptCount val="1"/>
                <c:pt idx="0">
                  <c:v>ITALIA</c:v>
                </c:pt>
              </c:strCache>
            </c:strRef>
          </c:tx>
          <c:spPr>
            <a:solidFill>
              <a:schemeClr val="accent3">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Foglio1!$A$2:$A$5</c:f>
              <c:strCache>
                <c:ptCount val="4"/>
                <c:pt idx="0">
                  <c:v>Uffici del Catasto</c:v>
                </c:pt>
                <c:pt idx="1">
                  <c:v>Ufficio del Registro</c:v>
                </c:pt>
                <c:pt idx="2">
                  <c:v>Uffici tecnici comunali</c:v>
                </c:pt>
                <c:pt idx="3">
                  <c:v>Uffici giudiziari</c:v>
                </c:pt>
              </c:strCache>
            </c:strRef>
          </c:cat>
          <c:val>
            <c:numRef>
              <c:f>Foglio1!$D$2:$D$5</c:f>
              <c:numCache>
                <c:formatCode>General</c:formatCode>
                <c:ptCount val="4"/>
                <c:pt idx="0">
                  <c:v>65</c:v>
                </c:pt>
                <c:pt idx="1">
                  <c:v>55</c:v>
                </c:pt>
                <c:pt idx="2">
                  <c:v>42</c:v>
                </c:pt>
                <c:pt idx="3">
                  <c:v>24</c:v>
                </c:pt>
              </c:numCache>
            </c:numRef>
          </c:val>
        </c:ser>
        <c:dLbls>
          <c:dLblPos val="inEnd"/>
          <c:showLegendKey val="0"/>
          <c:showVal val="1"/>
          <c:showCatName val="0"/>
          <c:showSerName val="0"/>
          <c:showPercent val="0"/>
          <c:showBubbleSize val="0"/>
        </c:dLbls>
        <c:gapWidth val="65"/>
        <c:axId val="465858336"/>
        <c:axId val="465858728"/>
      </c:barChart>
      <c:catAx>
        <c:axId val="4658583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it-IT"/>
          </a:p>
        </c:txPr>
        <c:crossAx val="465858728"/>
        <c:crosses val="autoZero"/>
        <c:auto val="1"/>
        <c:lblAlgn val="ctr"/>
        <c:lblOffset val="100"/>
        <c:noMultiLvlLbl val="0"/>
      </c:catAx>
      <c:valAx>
        <c:axId val="4658587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5858336"/>
        <c:crosses val="autoZero"/>
        <c:crossBetween val="between"/>
      </c:valAx>
      <c:spPr>
        <a:noFill/>
        <a:ln>
          <a:noFill/>
        </a:ln>
        <a:effectLst/>
      </c:spPr>
    </c:plotArea>
    <c:legend>
      <c:legendPos val="b"/>
      <c:layout>
        <c:manualLayout>
          <c:xMode val="edge"/>
          <c:yMode val="edge"/>
          <c:x val="0.41502828335792114"/>
          <c:y val="0.25082613571981915"/>
          <c:w val="0.58388604528855337"/>
          <c:h val="6.7976306587054267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Fig.3!$A$9</c:f>
              <c:strCache>
                <c:ptCount val="1"/>
                <c:pt idx="0">
                  <c:v>Numero medio dei percettori per nucleo familiare</c:v>
                </c:pt>
              </c:strCache>
            </c:strRef>
          </c:tx>
          <c:spPr>
            <a:solidFill>
              <a:srgbClr val="FFC000"/>
            </a:solidFill>
          </c:spPr>
          <c:invertIfNegative val="0"/>
          <c:dLbls>
            <c:dLbl>
              <c:idx val="0"/>
              <c:layout>
                <c:manualLayout>
                  <c:x val="0"/>
                  <c:y val="0.1092581943645773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77448953305647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0349459505589206"/>
                </c:manualLayout>
              </c:layout>
              <c:tx>
                <c:rich>
                  <a:bodyPr/>
                  <a:lstStyle/>
                  <a:p>
                    <a:r>
                      <a:rPr lang="en-US"/>
                      <a:t>1,80</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09244294781219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1034945950558921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034945950558920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6181352208021223E-17"/>
                  <c:y val="0.10349459505589206"/>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1034945950558920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034945950558920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9.1995195605237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Fig.3!$B$8:$K$8</c:f>
              <c:strCache>
                <c:ptCount val="10"/>
                <c:pt idx="0">
                  <c:v>1995</c:v>
                </c:pt>
                <c:pt idx="1">
                  <c:v>1998</c:v>
                </c:pt>
                <c:pt idx="2">
                  <c:v>2000</c:v>
                </c:pt>
                <c:pt idx="3">
                  <c:v>2002</c:v>
                </c:pt>
                <c:pt idx="4">
                  <c:v>2004</c:v>
                </c:pt>
                <c:pt idx="5">
                  <c:v>2006</c:v>
                </c:pt>
                <c:pt idx="6">
                  <c:v>2008</c:v>
                </c:pt>
                <c:pt idx="7">
                  <c:v>2010</c:v>
                </c:pt>
                <c:pt idx="8">
                  <c:v>2012</c:v>
                </c:pt>
                <c:pt idx="9">
                  <c:v>2013</c:v>
                </c:pt>
              </c:strCache>
            </c:strRef>
          </c:cat>
          <c:val>
            <c:numRef>
              <c:f>Fig.3!$B$9:$K$9</c:f>
              <c:numCache>
                <c:formatCode>General</c:formatCode>
                <c:ptCount val="10"/>
                <c:pt idx="0">
                  <c:v>1.83</c:v>
                </c:pt>
                <c:pt idx="1">
                  <c:v>1.79</c:v>
                </c:pt>
                <c:pt idx="2">
                  <c:v>1.8</c:v>
                </c:pt>
                <c:pt idx="3">
                  <c:v>1.75</c:v>
                </c:pt>
                <c:pt idx="4">
                  <c:v>1.72</c:v>
                </c:pt>
                <c:pt idx="5">
                  <c:v>1.75</c:v>
                </c:pt>
                <c:pt idx="6">
                  <c:v>1.74</c:v>
                </c:pt>
                <c:pt idx="7">
                  <c:v>1.77</c:v>
                </c:pt>
                <c:pt idx="8">
                  <c:v>1.69</c:v>
                </c:pt>
                <c:pt idx="9">
                  <c:v>1.68</c:v>
                </c:pt>
              </c:numCache>
            </c:numRef>
          </c:val>
        </c:ser>
        <c:dLbls>
          <c:showLegendKey val="0"/>
          <c:showVal val="0"/>
          <c:showCatName val="0"/>
          <c:showSerName val="0"/>
          <c:showPercent val="0"/>
          <c:showBubbleSize val="0"/>
        </c:dLbls>
        <c:gapWidth val="75"/>
        <c:overlap val="-25"/>
        <c:axId val="147199032"/>
        <c:axId val="147199424"/>
      </c:barChart>
      <c:catAx>
        <c:axId val="147199032"/>
        <c:scaling>
          <c:orientation val="minMax"/>
        </c:scaling>
        <c:delete val="0"/>
        <c:axPos val="b"/>
        <c:numFmt formatCode="General" sourceLinked="1"/>
        <c:majorTickMark val="none"/>
        <c:minorTickMark val="none"/>
        <c:tickLblPos val="nextTo"/>
        <c:crossAx val="147199424"/>
        <c:crosses val="autoZero"/>
        <c:auto val="1"/>
        <c:lblAlgn val="ctr"/>
        <c:lblOffset val="100"/>
        <c:noMultiLvlLbl val="0"/>
      </c:catAx>
      <c:valAx>
        <c:axId val="147199424"/>
        <c:scaling>
          <c:orientation val="minMax"/>
        </c:scaling>
        <c:delete val="1"/>
        <c:axPos val="l"/>
        <c:majorGridlines/>
        <c:numFmt formatCode="General" sourceLinked="1"/>
        <c:majorTickMark val="none"/>
        <c:minorTickMark val="none"/>
        <c:tickLblPos val="nextTo"/>
        <c:crossAx val="147199032"/>
        <c:crosses val="autoZero"/>
        <c:crossBetween val="between"/>
      </c:valAx>
    </c:plotArea>
    <c:legend>
      <c:legendPos val="b"/>
      <c:overlay val="0"/>
      <c:txPr>
        <a:bodyPr/>
        <a:lstStyle/>
        <a:p>
          <a:pPr>
            <a:defRPr sz="900"/>
          </a:pPr>
          <a:endParaRPr lang="it-IT"/>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it-IT"/>
        </a:p>
      </c:txPr>
    </c:title>
    <c:autoTitleDeleted val="0"/>
    <c:plotArea>
      <c:layout/>
      <c:pieChart>
        <c:varyColors val="1"/>
        <c:ser>
          <c:idx val="0"/>
          <c:order val="0"/>
          <c:tx>
            <c:strRef>
              <c:f>Foglio1!$B$1</c:f>
              <c:strCache>
                <c:ptCount val="1"/>
                <c:pt idx="0">
                  <c:v>% valore grandi transazioni</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12909645113739898"/>
                  <c:y val="-0.1759659200027935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8.8935637513796198E-2"/>
                  <c:y val="0.11480794289949797"/>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Foglio1!$A$2:$A$7</c:f>
              <c:strCache>
                <c:ptCount val="6"/>
                <c:pt idx="0">
                  <c:v>Milano</c:v>
                </c:pt>
                <c:pt idx="1">
                  <c:v>Roma</c:v>
                </c:pt>
                <c:pt idx="2">
                  <c:v>Firenze</c:v>
                </c:pt>
                <c:pt idx="3">
                  <c:v>Bologna</c:v>
                </c:pt>
                <c:pt idx="4">
                  <c:v>Torino</c:v>
                </c:pt>
                <c:pt idx="5">
                  <c:v>Altro</c:v>
                </c:pt>
              </c:strCache>
            </c:strRef>
          </c:cat>
          <c:val>
            <c:numRef>
              <c:f>Foglio1!$B$2:$B$7</c:f>
              <c:numCache>
                <c:formatCode>General</c:formatCode>
                <c:ptCount val="6"/>
                <c:pt idx="0">
                  <c:v>64.400000000000006</c:v>
                </c:pt>
                <c:pt idx="1">
                  <c:v>10</c:v>
                </c:pt>
                <c:pt idx="2">
                  <c:v>2.8</c:v>
                </c:pt>
                <c:pt idx="3">
                  <c:v>1.3</c:v>
                </c:pt>
                <c:pt idx="4">
                  <c:v>1.3</c:v>
                </c:pt>
                <c:pt idx="5">
                  <c:v>20.2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sz="1050"/>
              <a:t>Reddito disponibile delle</a:t>
            </a:r>
            <a:r>
              <a:rPr lang="it-IT" sz="1050" baseline="0"/>
              <a:t> famiglie italiane</a:t>
            </a:r>
            <a:endParaRPr lang="it-IT" sz="1050"/>
          </a:p>
        </c:rich>
      </c:tx>
      <c:overlay val="0"/>
    </c:title>
    <c:autoTitleDeleted val="0"/>
    <c:plotArea>
      <c:layout>
        <c:manualLayout>
          <c:layoutTarget val="inner"/>
          <c:xMode val="edge"/>
          <c:yMode val="edge"/>
          <c:x val="2.2932022932022931E-2"/>
          <c:y val="0.17253385067541513"/>
          <c:w val="0.95904995904995904"/>
          <c:h val="0.56229263526783846"/>
        </c:manualLayout>
      </c:layout>
      <c:lineChart>
        <c:grouping val="standard"/>
        <c:varyColors val="0"/>
        <c:ser>
          <c:idx val="0"/>
          <c:order val="0"/>
          <c:tx>
            <c:strRef>
              <c:f>Fig.4!$B$4</c:f>
              <c:strCache>
                <c:ptCount val="1"/>
                <c:pt idx="0">
                  <c:v>Redditi medi per famiglia</c:v>
                </c:pt>
              </c:strCache>
            </c:strRef>
          </c:tx>
          <c:marker>
            <c:symbol val="circle"/>
            <c:size val="15"/>
            <c:spPr>
              <a:solidFill>
                <a:schemeClr val="accent1"/>
              </a:solidFill>
            </c:spPr>
          </c:marker>
          <c:dLbls>
            <c:dLbl>
              <c:idx val="0"/>
              <c:layout>
                <c:manualLayout>
                  <c:x val="-6.7304033555963858E-2"/>
                  <c:y val="-7.0809372077573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12567200022505E-2"/>
                  <c:y val="-9.67306902957443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443367086169729E-2"/>
                  <c:y val="-6.956026589038719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2919608002903684E-2"/>
                  <c:y val="-7.212366660206551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5765099369419126E-2"/>
                  <c:y val="-9.451758005069418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5765099369419126E-2"/>
                  <c:y val="-8.440116960549087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2603178222380804E-2"/>
                  <c:y val="-8.218848251727538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664951162924983E-2"/>
                  <c:y val="-7.523389994033488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2988263407801793E-2"/>
                  <c:y val="-8.060799173997858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5282458480713168E-2"/>
                  <c:y val="-7.523389994033488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Fig.4!$C$3:$L$3</c:f>
              <c:numCache>
                <c:formatCode>General</c:formatCode>
                <c:ptCount val="10"/>
                <c:pt idx="0">
                  <c:v>1995</c:v>
                </c:pt>
                <c:pt idx="1">
                  <c:v>1998</c:v>
                </c:pt>
                <c:pt idx="2">
                  <c:v>2000</c:v>
                </c:pt>
                <c:pt idx="3">
                  <c:v>2002</c:v>
                </c:pt>
                <c:pt idx="4">
                  <c:v>2004</c:v>
                </c:pt>
                <c:pt idx="5">
                  <c:v>2006</c:v>
                </c:pt>
                <c:pt idx="6">
                  <c:v>2008</c:v>
                </c:pt>
                <c:pt idx="7">
                  <c:v>2010</c:v>
                </c:pt>
                <c:pt idx="8">
                  <c:v>2012</c:v>
                </c:pt>
                <c:pt idx="9">
                  <c:v>2014</c:v>
                </c:pt>
              </c:numCache>
            </c:numRef>
          </c:cat>
          <c:val>
            <c:numRef>
              <c:f>Fig.4!$C$4:$L$4</c:f>
              <c:numCache>
                <c:formatCode>#,##0</c:formatCode>
                <c:ptCount val="10"/>
                <c:pt idx="0">
                  <c:v>26258</c:v>
                </c:pt>
                <c:pt idx="1">
                  <c:v>29063</c:v>
                </c:pt>
                <c:pt idx="2">
                  <c:v>28391</c:v>
                </c:pt>
                <c:pt idx="3">
                  <c:v>29147</c:v>
                </c:pt>
                <c:pt idx="4">
                  <c:v>31348</c:v>
                </c:pt>
                <c:pt idx="5">
                  <c:v>37017</c:v>
                </c:pt>
                <c:pt idx="6">
                  <c:v>39033</c:v>
                </c:pt>
                <c:pt idx="7">
                  <c:v>38662</c:v>
                </c:pt>
                <c:pt idx="8">
                  <c:v>34511</c:v>
                </c:pt>
                <c:pt idx="9">
                  <c:v>33004</c:v>
                </c:pt>
              </c:numCache>
            </c:numRef>
          </c:val>
          <c:smooth val="0"/>
        </c:ser>
        <c:ser>
          <c:idx val="1"/>
          <c:order val="1"/>
          <c:tx>
            <c:strRef>
              <c:f>Fig.4!$B$5</c:f>
              <c:strCache>
                <c:ptCount val="1"/>
                <c:pt idx="0">
                  <c:v>Redditi medi famiglie con meno di 34 anni</c:v>
                </c:pt>
              </c:strCache>
            </c:strRef>
          </c:tx>
          <c:spPr>
            <a:ln>
              <a:solidFill>
                <a:srgbClr val="FFC000"/>
              </a:solidFill>
            </a:ln>
          </c:spPr>
          <c:marker>
            <c:symbol val="circle"/>
            <c:size val="15"/>
            <c:spPr>
              <a:solidFill>
                <a:srgbClr val="FFC000"/>
              </a:solidFill>
              <a:ln>
                <a:solidFill>
                  <a:srgbClr val="FFC000"/>
                </a:solidFill>
              </a:ln>
            </c:spPr>
          </c:marker>
          <c:dLbls>
            <c:dLbl>
              <c:idx val="0"/>
              <c:layout>
                <c:manualLayout>
                  <c:x val="-5.6410264002996702E-2"/>
                  <c:y val="7.523728519501182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424816666641989E-2"/>
                  <c:y val="7.17580897007858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765099369419126E-2"/>
                  <c:y val="8.788036509971690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226044226044224E-2"/>
                  <c:y val="5.371248025276461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5551895222006223E-2"/>
                  <c:y val="9.13312090860235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9753423481179554E-2"/>
                  <c:y val="7.13239307884681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768930381442948E-2"/>
                  <c:y val="8.2797405202290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2489306479481322E-2"/>
                  <c:y val="8.59571172863798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5551895222006223E-2"/>
                  <c:y val="9.038629987432242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642121292431697E-2"/>
                  <c:y val="8.75629974737536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Fig.4!$C$3:$L$3</c:f>
              <c:numCache>
                <c:formatCode>General</c:formatCode>
                <c:ptCount val="10"/>
                <c:pt idx="0">
                  <c:v>1995</c:v>
                </c:pt>
                <c:pt idx="1">
                  <c:v>1998</c:v>
                </c:pt>
                <c:pt idx="2">
                  <c:v>2000</c:v>
                </c:pt>
                <c:pt idx="3">
                  <c:v>2002</c:v>
                </c:pt>
                <c:pt idx="4">
                  <c:v>2004</c:v>
                </c:pt>
                <c:pt idx="5">
                  <c:v>2006</c:v>
                </c:pt>
                <c:pt idx="6">
                  <c:v>2008</c:v>
                </c:pt>
                <c:pt idx="7">
                  <c:v>2010</c:v>
                </c:pt>
                <c:pt idx="8">
                  <c:v>2012</c:v>
                </c:pt>
                <c:pt idx="9">
                  <c:v>2014</c:v>
                </c:pt>
              </c:numCache>
            </c:numRef>
          </c:cat>
          <c:val>
            <c:numRef>
              <c:f>Fig.4!$C$5:$L$5</c:f>
              <c:numCache>
                <c:formatCode>#,##0</c:formatCode>
                <c:ptCount val="10"/>
                <c:pt idx="0">
                  <c:v>21948</c:v>
                </c:pt>
                <c:pt idx="1">
                  <c:v>27856</c:v>
                </c:pt>
                <c:pt idx="2">
                  <c:v>28231</c:v>
                </c:pt>
                <c:pt idx="3">
                  <c:v>27625</c:v>
                </c:pt>
                <c:pt idx="4">
                  <c:v>28471</c:v>
                </c:pt>
                <c:pt idx="5">
                  <c:v>27820</c:v>
                </c:pt>
                <c:pt idx="6">
                  <c:v>26318</c:v>
                </c:pt>
                <c:pt idx="7">
                  <c:v>25164</c:v>
                </c:pt>
                <c:pt idx="8">
                  <c:v>22749</c:v>
                </c:pt>
                <c:pt idx="9">
                  <c:v>25729</c:v>
                </c:pt>
              </c:numCache>
            </c:numRef>
          </c:val>
          <c:smooth val="0"/>
        </c:ser>
        <c:dLbls>
          <c:showLegendKey val="0"/>
          <c:showVal val="0"/>
          <c:showCatName val="0"/>
          <c:showSerName val="0"/>
          <c:showPercent val="0"/>
          <c:showBubbleSize val="0"/>
        </c:dLbls>
        <c:marker val="1"/>
        <c:smooth val="0"/>
        <c:axId val="461728376"/>
        <c:axId val="461728768"/>
      </c:lineChart>
      <c:catAx>
        <c:axId val="461728376"/>
        <c:scaling>
          <c:orientation val="minMax"/>
        </c:scaling>
        <c:delete val="0"/>
        <c:axPos val="b"/>
        <c:numFmt formatCode="General" sourceLinked="1"/>
        <c:majorTickMark val="none"/>
        <c:minorTickMark val="none"/>
        <c:tickLblPos val="nextTo"/>
        <c:crossAx val="461728768"/>
        <c:crosses val="autoZero"/>
        <c:auto val="1"/>
        <c:lblAlgn val="ctr"/>
        <c:lblOffset val="100"/>
        <c:noMultiLvlLbl val="0"/>
      </c:catAx>
      <c:valAx>
        <c:axId val="461728768"/>
        <c:scaling>
          <c:orientation val="minMax"/>
        </c:scaling>
        <c:delete val="1"/>
        <c:axPos val="l"/>
        <c:numFmt formatCode="#,##0" sourceLinked="1"/>
        <c:majorTickMark val="none"/>
        <c:minorTickMark val="none"/>
        <c:tickLblPos val="nextTo"/>
        <c:crossAx val="461728376"/>
        <c:crosses val="autoZero"/>
        <c:crossBetween val="between"/>
      </c:valAx>
      <c:spPr>
        <a:ln w="3175" cap="sq"/>
      </c:spPr>
    </c:plotArea>
    <c:legend>
      <c:legendPos val="b"/>
      <c:layout>
        <c:manualLayout>
          <c:xMode val="edge"/>
          <c:yMode val="edge"/>
          <c:x val="0.17193280049777407"/>
          <c:y val="0.85439843998185838"/>
          <c:w val="0.63135418883450378"/>
          <c:h val="0.1440399434972937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Fig.5!$A$6</c:f>
              <c:strCache>
                <c:ptCount val="1"/>
                <c:pt idx="0">
                  <c:v>Migliaia</c:v>
                </c:pt>
              </c:strCache>
            </c:strRef>
          </c:tx>
          <c:spPr>
            <a:ln w="53975" cmpd="dbl"/>
          </c:spPr>
          <c:invertIfNegative val="0"/>
          <c:cat>
            <c:numRef>
              <c:f>Fig.5!$B$5:$K$5</c:f>
              <c:numCache>
                <c:formatCode>General</c:formatCode>
                <c:ptCount val="10"/>
                <c:pt idx="0">
                  <c:v>1991</c:v>
                </c:pt>
                <c:pt idx="1">
                  <c:v>2001</c:v>
                </c:pt>
                <c:pt idx="2">
                  <c:v>2003</c:v>
                </c:pt>
                <c:pt idx="3">
                  <c:v>2005</c:v>
                </c:pt>
                <c:pt idx="4">
                  <c:v>2007</c:v>
                </c:pt>
                <c:pt idx="5">
                  <c:v>2009</c:v>
                </c:pt>
                <c:pt idx="6">
                  <c:v>2011</c:v>
                </c:pt>
                <c:pt idx="7">
                  <c:v>2013</c:v>
                </c:pt>
                <c:pt idx="8">
                  <c:v>2014</c:v>
                </c:pt>
                <c:pt idx="9">
                  <c:v>2015</c:v>
                </c:pt>
              </c:numCache>
            </c:numRef>
          </c:cat>
          <c:val>
            <c:numRef>
              <c:f>Fig.5!$B$6:$K$6</c:f>
              <c:numCache>
                <c:formatCode>@</c:formatCode>
                <c:ptCount val="10"/>
                <c:pt idx="0">
                  <c:v>356</c:v>
                </c:pt>
                <c:pt idx="1">
                  <c:v>1334</c:v>
                </c:pt>
                <c:pt idx="2">
                  <c:v>1990</c:v>
                </c:pt>
                <c:pt idx="3">
                  <c:v>2670</c:v>
                </c:pt>
                <c:pt idx="4">
                  <c:v>3432</c:v>
                </c:pt>
                <c:pt idx="5">
                  <c:v>4235</c:v>
                </c:pt>
                <c:pt idx="6">
                  <c:v>4450</c:v>
                </c:pt>
                <c:pt idx="7">
                  <c:v>4650</c:v>
                </c:pt>
                <c:pt idx="8">
                  <c:v>4922</c:v>
                </c:pt>
                <c:pt idx="9">
                  <c:v>5014</c:v>
                </c:pt>
              </c:numCache>
            </c:numRef>
          </c:val>
        </c:ser>
        <c:dLbls>
          <c:showLegendKey val="0"/>
          <c:showVal val="0"/>
          <c:showCatName val="0"/>
          <c:showSerName val="0"/>
          <c:showPercent val="0"/>
          <c:showBubbleSize val="0"/>
        </c:dLbls>
        <c:gapWidth val="5"/>
        <c:overlap val="10"/>
        <c:axId val="461729552"/>
        <c:axId val="461729944"/>
      </c:barChart>
      <c:catAx>
        <c:axId val="461729552"/>
        <c:scaling>
          <c:orientation val="minMax"/>
        </c:scaling>
        <c:delete val="0"/>
        <c:axPos val="b"/>
        <c:numFmt formatCode="General" sourceLinked="1"/>
        <c:majorTickMark val="out"/>
        <c:minorTickMark val="none"/>
        <c:tickLblPos val="nextTo"/>
        <c:spPr>
          <a:ln>
            <a:noFill/>
          </a:ln>
        </c:spPr>
        <c:crossAx val="461729944"/>
        <c:crosses val="autoZero"/>
        <c:auto val="1"/>
        <c:lblAlgn val="ctr"/>
        <c:lblOffset val="100"/>
        <c:noMultiLvlLbl val="0"/>
      </c:catAx>
      <c:valAx>
        <c:axId val="461729944"/>
        <c:scaling>
          <c:orientation val="minMax"/>
        </c:scaling>
        <c:delete val="0"/>
        <c:axPos val="l"/>
        <c:numFmt formatCode="@" sourceLinked="1"/>
        <c:majorTickMark val="out"/>
        <c:minorTickMark val="none"/>
        <c:tickLblPos val="nextTo"/>
        <c:crossAx val="461729552"/>
        <c:crosses val="autoZero"/>
        <c:crossBetween val="between"/>
      </c:valAx>
      <c:spPr>
        <a:noFill/>
        <a:ln>
          <a:noFill/>
        </a:ln>
      </c:spPr>
    </c:plotArea>
    <c:plotVisOnly val="1"/>
    <c:dispBlanksAs val="gap"/>
    <c:showDLblsOverMax val="0"/>
  </c:chart>
  <c:spPr>
    <a:ln>
      <a:solidFill>
        <a:schemeClr val="bg2">
          <a:lumMod val="90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Foglio1!$B$1</c:f>
              <c:strCache>
                <c:ptCount val="1"/>
                <c:pt idx="0">
                  <c:v>% famiglie immigrate</c:v>
                </c:pt>
              </c:strCache>
            </c:strRef>
          </c:tx>
          <c:spPr>
            <a:ln w="31750" cap="rnd">
              <a:solidFill>
                <a:schemeClr val="accent1"/>
              </a:solidFill>
              <a:round/>
            </a:ln>
            <a:effectLst/>
          </c:spPr>
          <c:marker>
            <c:symbol val="circle"/>
            <c:size val="17"/>
            <c:spPr>
              <a:solidFill>
                <a:schemeClr val="accent1"/>
              </a:solidFill>
              <a:ln>
                <a:noFill/>
              </a:ln>
              <a:effectLst/>
            </c:spPr>
          </c:marker>
          <c:dLbls>
            <c:numFmt formatCode="#,##0.0" sourceLinked="0"/>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Foglio1!$A$2:$A$11</c:f>
              <c:numCache>
                <c:formatCode>General</c:formatCode>
                <c:ptCount val="10"/>
                <c:pt idx="0">
                  <c:v>1995</c:v>
                </c:pt>
                <c:pt idx="1">
                  <c:v>1998</c:v>
                </c:pt>
                <c:pt idx="2">
                  <c:v>2000</c:v>
                </c:pt>
                <c:pt idx="3">
                  <c:v>2002</c:v>
                </c:pt>
                <c:pt idx="4">
                  <c:v>2004</c:v>
                </c:pt>
                <c:pt idx="5">
                  <c:v>2006</c:v>
                </c:pt>
                <c:pt idx="6">
                  <c:v>2008</c:v>
                </c:pt>
                <c:pt idx="7">
                  <c:v>2010</c:v>
                </c:pt>
                <c:pt idx="8">
                  <c:v>2012</c:v>
                </c:pt>
                <c:pt idx="9">
                  <c:v>2014</c:v>
                </c:pt>
              </c:numCache>
            </c:numRef>
          </c:cat>
          <c:val>
            <c:numRef>
              <c:f>Foglio1!$B$2:$B$11</c:f>
              <c:numCache>
                <c:formatCode>General</c:formatCode>
                <c:ptCount val="10"/>
                <c:pt idx="0">
                  <c:v>1.6</c:v>
                </c:pt>
                <c:pt idx="1">
                  <c:v>2.2000000000000002</c:v>
                </c:pt>
                <c:pt idx="2">
                  <c:v>2.6</c:v>
                </c:pt>
                <c:pt idx="3">
                  <c:v>3.4</c:v>
                </c:pt>
                <c:pt idx="4">
                  <c:v>3.9</c:v>
                </c:pt>
                <c:pt idx="5">
                  <c:v>5</c:v>
                </c:pt>
                <c:pt idx="6">
                  <c:v>7</c:v>
                </c:pt>
                <c:pt idx="7">
                  <c:v>7.9</c:v>
                </c:pt>
                <c:pt idx="8">
                  <c:v>8.9</c:v>
                </c:pt>
                <c:pt idx="9">
                  <c:v>8.1</c:v>
                </c:pt>
              </c:numCache>
            </c:numRef>
          </c:val>
          <c:smooth val="0"/>
        </c:ser>
        <c:dLbls>
          <c:dLblPos val="ctr"/>
          <c:showLegendKey val="0"/>
          <c:showVal val="1"/>
          <c:showCatName val="0"/>
          <c:showSerName val="0"/>
          <c:showPercent val="0"/>
          <c:showBubbleSize val="0"/>
        </c:dLbls>
        <c:marker val="1"/>
        <c:smooth val="0"/>
        <c:axId val="461730816"/>
        <c:axId val="461731208"/>
      </c:lineChart>
      <c:catAx>
        <c:axId val="461730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mn-lt"/>
                <a:ea typeface="+mn-ea"/>
                <a:cs typeface="+mn-cs"/>
              </a:defRPr>
            </a:pPr>
            <a:endParaRPr lang="it-IT"/>
          </a:p>
        </c:txPr>
        <c:crossAx val="461731208"/>
        <c:crosses val="autoZero"/>
        <c:auto val="1"/>
        <c:lblAlgn val="ctr"/>
        <c:lblOffset val="100"/>
        <c:noMultiLvlLbl val="0"/>
      </c:catAx>
      <c:valAx>
        <c:axId val="4617312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1730816"/>
        <c:crosses val="autoZero"/>
        <c:crossBetween val="between"/>
      </c:valAx>
      <c:spPr>
        <a:noFill/>
        <a:ln w="25400">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100" b="1"/>
              <a:t>Variazione di proprietari e inquilini </a:t>
            </a:r>
          </a:p>
          <a:p>
            <a:pPr>
              <a:defRPr sz="1400" b="0" i="0" u="none" strike="noStrike" kern="1200" spc="0" baseline="0">
                <a:solidFill>
                  <a:schemeClr val="tx1">
                    <a:lumMod val="65000"/>
                    <a:lumOff val="35000"/>
                  </a:schemeClr>
                </a:solidFill>
                <a:latin typeface="+mn-lt"/>
                <a:ea typeface="+mn-ea"/>
                <a:cs typeface="+mn-cs"/>
              </a:defRPr>
            </a:pPr>
            <a:r>
              <a:rPr lang="it-IT" sz="1100"/>
              <a:t> milioni di famiglie (1951 - 2014)</a:t>
            </a:r>
          </a:p>
        </c:rich>
      </c:tx>
      <c:overlay val="0"/>
      <c:spPr>
        <a:noFill/>
        <a:ln>
          <a:noFill/>
        </a:ln>
        <a:effectLst/>
      </c:spPr>
    </c:title>
    <c:autoTitleDeleted val="0"/>
    <c:plotArea>
      <c:layout>
        <c:manualLayout>
          <c:layoutTarget val="inner"/>
          <c:xMode val="edge"/>
          <c:yMode val="edge"/>
          <c:x val="4.0362547274183321E-2"/>
          <c:y val="0.21558558558558558"/>
          <c:w val="0.95902049280876922"/>
          <c:h val="0.4488210257501597"/>
        </c:manualLayout>
      </c:layout>
      <c:barChart>
        <c:barDir val="col"/>
        <c:grouping val="clustered"/>
        <c:varyColors val="0"/>
        <c:ser>
          <c:idx val="0"/>
          <c:order val="0"/>
          <c:tx>
            <c:strRef>
              <c:f>Foglio1!$B$1</c:f>
              <c:strCache>
                <c:ptCount val="1"/>
                <c:pt idx="0">
                  <c:v>Variazione proprietari</c:v>
                </c:pt>
              </c:strCache>
            </c:strRef>
          </c:tx>
          <c:spPr>
            <a:solidFill>
              <a:schemeClr val="accent1"/>
            </a:solidFill>
            <a:ln>
              <a:noFill/>
            </a:ln>
            <a:effectLst/>
          </c:spPr>
          <c:invertIfNegative val="0"/>
          <c:cat>
            <c:strRef>
              <c:f>Foglio1!$A$2:$A$8</c:f>
              <c:strCache>
                <c:ptCount val="7"/>
                <c:pt idx="0">
                  <c:v>Dopo Guerra - anni '50</c:v>
                </c:pt>
                <c:pt idx="1">
                  <c:v>Miracolo Economico - anni '60</c:v>
                </c:pt>
                <c:pt idx="2">
                  <c:v>Espansione conflittuale - anni '70</c:v>
                </c:pt>
                <c:pt idx="3">
                  <c:v>Opulenza e deficit -                    anni '80</c:v>
                </c:pt>
                <c:pt idx="4">
                  <c:v>Ritorno alla realtà -                     anni '90</c:v>
                </c:pt>
                <c:pt idx="5">
                  <c:v>L'Euro -      anni '00</c:v>
                </c:pt>
                <c:pt idx="6">
                  <c:v>Gli ultimi anni - anni '11-'14</c:v>
                </c:pt>
              </c:strCache>
            </c:strRef>
          </c:cat>
          <c:val>
            <c:numRef>
              <c:f>Foglio1!$B$2:$B$8</c:f>
              <c:numCache>
                <c:formatCode>General</c:formatCode>
                <c:ptCount val="7"/>
                <c:pt idx="0">
                  <c:v>1.5</c:v>
                </c:pt>
                <c:pt idx="1">
                  <c:v>1.5</c:v>
                </c:pt>
                <c:pt idx="2">
                  <c:v>2.8</c:v>
                </c:pt>
                <c:pt idx="3">
                  <c:v>3.4</c:v>
                </c:pt>
                <c:pt idx="4">
                  <c:v>2.6</c:v>
                </c:pt>
                <c:pt idx="5">
                  <c:v>2.8</c:v>
                </c:pt>
                <c:pt idx="6">
                  <c:v>0.2</c:v>
                </c:pt>
              </c:numCache>
            </c:numRef>
          </c:val>
        </c:ser>
        <c:ser>
          <c:idx val="1"/>
          <c:order val="1"/>
          <c:tx>
            <c:strRef>
              <c:f>Foglio1!$C$1</c:f>
              <c:strCache>
                <c:ptCount val="1"/>
                <c:pt idx="0">
                  <c:v>Variazione inquilini</c:v>
                </c:pt>
              </c:strCache>
            </c:strRef>
          </c:tx>
          <c:spPr>
            <a:solidFill>
              <a:schemeClr val="accent4"/>
            </a:solidFill>
            <a:ln>
              <a:noFill/>
            </a:ln>
            <a:effectLst/>
          </c:spPr>
          <c:invertIfNegative val="0"/>
          <c:cat>
            <c:strRef>
              <c:f>Foglio1!$A$2:$A$8</c:f>
              <c:strCache>
                <c:ptCount val="7"/>
                <c:pt idx="0">
                  <c:v>Dopo Guerra - anni '50</c:v>
                </c:pt>
                <c:pt idx="1">
                  <c:v>Miracolo Economico - anni '60</c:v>
                </c:pt>
                <c:pt idx="2">
                  <c:v>Espansione conflittuale - anni '70</c:v>
                </c:pt>
                <c:pt idx="3">
                  <c:v>Opulenza e deficit -                    anni '80</c:v>
                </c:pt>
                <c:pt idx="4">
                  <c:v>Ritorno alla realtà -                     anni '90</c:v>
                </c:pt>
                <c:pt idx="5">
                  <c:v>L'Euro -      anni '00</c:v>
                </c:pt>
                <c:pt idx="6">
                  <c:v>Gli ultimi anni - anni '11-'14</c:v>
                </c:pt>
              </c:strCache>
            </c:strRef>
          </c:cat>
          <c:val>
            <c:numRef>
              <c:f>Foglio1!$C$2:$C$8</c:f>
              <c:numCache>
                <c:formatCode>General</c:formatCode>
                <c:ptCount val="7"/>
                <c:pt idx="0">
                  <c:v>0.9</c:v>
                </c:pt>
                <c:pt idx="1">
                  <c:v>0.7</c:v>
                </c:pt>
                <c:pt idx="2">
                  <c:v>-0.6</c:v>
                </c:pt>
                <c:pt idx="3">
                  <c:v>-1.2</c:v>
                </c:pt>
                <c:pt idx="4">
                  <c:v>-0.7</c:v>
                </c:pt>
                <c:pt idx="5">
                  <c:v>0.1</c:v>
                </c:pt>
                <c:pt idx="6">
                  <c:v>0.2</c:v>
                </c:pt>
              </c:numCache>
            </c:numRef>
          </c:val>
        </c:ser>
        <c:dLbls>
          <c:showLegendKey val="0"/>
          <c:showVal val="0"/>
          <c:showCatName val="0"/>
          <c:showSerName val="0"/>
          <c:showPercent val="0"/>
          <c:showBubbleSize val="0"/>
        </c:dLbls>
        <c:gapWidth val="219"/>
        <c:overlap val="-27"/>
        <c:axId val="461731992"/>
        <c:axId val="402283928"/>
      </c:barChart>
      <c:catAx>
        <c:axId val="4617319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endParaRPr lang="it-IT"/>
          </a:p>
        </c:txPr>
        <c:crossAx val="402283928"/>
        <c:crosses val="autoZero"/>
        <c:auto val="0"/>
        <c:lblAlgn val="ctr"/>
        <c:lblOffset val="100"/>
        <c:noMultiLvlLbl val="0"/>
      </c:catAx>
      <c:valAx>
        <c:axId val="402283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61731992"/>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it-IT" sz="1100"/>
              <a:t>Domanda residenziale, popolazione residente e compravendite </a:t>
            </a:r>
            <a:br>
              <a:rPr lang="it-IT" sz="1100"/>
            </a:br>
            <a:r>
              <a:rPr lang="it-IT" sz="1100" b="0"/>
              <a:t>N.I: 2006 = 100</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Foglio1!$B$1</c:f>
              <c:strCache>
                <c:ptCount val="1"/>
                <c:pt idx="0">
                  <c:v>Domanda abitativa</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Foglio1!$A$2:$A$14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Foglio1!$B$2:$B$14</c:f>
              <c:numCache>
                <c:formatCode>General</c:formatCode>
                <c:ptCount val="13"/>
                <c:pt idx="0">
                  <c:v>100</c:v>
                </c:pt>
                <c:pt idx="1">
                  <c:v>88</c:v>
                </c:pt>
                <c:pt idx="2">
                  <c:v>91</c:v>
                </c:pt>
                <c:pt idx="3">
                  <c:v>82.2</c:v>
                </c:pt>
                <c:pt idx="4">
                  <c:v>80.3</c:v>
                </c:pt>
                <c:pt idx="5">
                  <c:v>79.3</c:v>
                </c:pt>
                <c:pt idx="6">
                  <c:v>77.7</c:v>
                </c:pt>
                <c:pt idx="7">
                  <c:v>70.599999999999994</c:v>
                </c:pt>
                <c:pt idx="8">
                  <c:v>73</c:v>
                </c:pt>
                <c:pt idx="9">
                  <c:v>78.099999999999994</c:v>
                </c:pt>
              </c:numCache>
            </c:numRef>
          </c:val>
          <c:smooth val="0"/>
        </c:ser>
        <c:ser>
          <c:idx val="1"/>
          <c:order val="1"/>
          <c:tx>
            <c:strRef>
              <c:f>Foglio1!$C$1</c:f>
              <c:strCache>
                <c:ptCount val="1"/>
                <c:pt idx="0">
                  <c:v>Popolazione</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f>Foglio1!$A$2:$A$14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Foglio1!$C$2:$C$14</c:f>
              <c:numCache>
                <c:formatCode>General</c:formatCode>
                <c:ptCount val="13"/>
                <c:pt idx="0">
                  <c:v>100</c:v>
                </c:pt>
                <c:pt idx="1">
                  <c:v>101</c:v>
                </c:pt>
                <c:pt idx="2">
                  <c:v>102</c:v>
                </c:pt>
                <c:pt idx="3">
                  <c:v>102</c:v>
                </c:pt>
                <c:pt idx="4">
                  <c:v>102</c:v>
                </c:pt>
                <c:pt idx="5">
                  <c:v>104</c:v>
                </c:pt>
                <c:pt idx="6">
                  <c:v>105</c:v>
                </c:pt>
                <c:pt idx="7">
                  <c:v>106</c:v>
                </c:pt>
                <c:pt idx="8">
                  <c:v>106</c:v>
                </c:pt>
                <c:pt idx="9">
                  <c:v>106</c:v>
                </c:pt>
                <c:pt idx="10">
                  <c:v>106.6</c:v>
                </c:pt>
                <c:pt idx="11">
                  <c:v>106.9</c:v>
                </c:pt>
                <c:pt idx="12">
                  <c:v>107</c:v>
                </c:pt>
              </c:numCache>
            </c:numRef>
          </c:val>
          <c:smooth val="0"/>
        </c:ser>
        <c:ser>
          <c:idx val="2"/>
          <c:order val="2"/>
          <c:tx>
            <c:strRef>
              <c:f>Foglio1!$D$1</c:f>
              <c:strCache>
                <c:ptCount val="1"/>
                <c:pt idx="0">
                  <c:v>Compravendite di abitazioni</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Foglio1!$A$2:$A$14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Foglio1!$D$2:$D$14</c:f>
              <c:numCache>
                <c:formatCode>General</c:formatCode>
                <c:ptCount val="13"/>
                <c:pt idx="0">
                  <c:v>100</c:v>
                </c:pt>
                <c:pt idx="1">
                  <c:v>93</c:v>
                </c:pt>
                <c:pt idx="2">
                  <c:v>79</c:v>
                </c:pt>
                <c:pt idx="3">
                  <c:v>70</c:v>
                </c:pt>
                <c:pt idx="4">
                  <c:v>71</c:v>
                </c:pt>
                <c:pt idx="5">
                  <c:v>69</c:v>
                </c:pt>
                <c:pt idx="6">
                  <c:v>51</c:v>
                </c:pt>
                <c:pt idx="7">
                  <c:v>47</c:v>
                </c:pt>
                <c:pt idx="8">
                  <c:v>48</c:v>
                </c:pt>
                <c:pt idx="9">
                  <c:v>52</c:v>
                </c:pt>
              </c:numCache>
            </c:numRef>
          </c:val>
          <c:smooth val="0"/>
        </c:ser>
        <c:dLbls>
          <c:showLegendKey val="0"/>
          <c:showVal val="0"/>
          <c:showCatName val="0"/>
          <c:showSerName val="0"/>
          <c:showPercent val="0"/>
          <c:showBubbleSize val="0"/>
        </c:dLbls>
        <c:smooth val="0"/>
        <c:axId val="402284712"/>
        <c:axId val="402285104"/>
      </c:lineChart>
      <c:catAx>
        <c:axId val="402284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crossAx val="402285104"/>
        <c:crosses val="autoZero"/>
        <c:auto val="1"/>
        <c:lblAlgn val="ctr"/>
        <c:lblOffset val="100"/>
        <c:noMultiLvlLbl val="0"/>
      </c:catAx>
      <c:valAx>
        <c:axId val="402285104"/>
        <c:scaling>
          <c:orientation val="minMax"/>
          <c:max val="110"/>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02284712"/>
        <c:crosses val="autoZero"/>
        <c:crossBetween val="between"/>
      </c:valAx>
      <c:spPr>
        <a:noFill/>
        <a:ln>
          <a:noFill/>
        </a:ln>
        <a:effectLst/>
      </c:spPr>
    </c:plotArea>
    <c:legend>
      <c:legendPos val="b"/>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183100561773798E-2"/>
          <c:y val="6.1414772546144303E-2"/>
          <c:w val="0.90524781341107896"/>
          <c:h val="0.80082987551867202"/>
        </c:manualLayout>
      </c:layout>
      <c:lineChart>
        <c:grouping val="standard"/>
        <c:varyColors val="0"/>
        <c:ser>
          <c:idx val="1"/>
          <c:order val="1"/>
          <c:tx>
            <c:strRef>
              <c:f>'grafico cicli 2014 (2)'!$C$1</c:f>
              <c:strCache>
                <c:ptCount val="1"/>
                <c:pt idx="0">
                  <c:v>Compravendite</c:v>
                </c:pt>
              </c:strCache>
            </c:strRef>
          </c:tx>
          <c:spPr>
            <a:ln w="38100" cap="rnd">
              <a:solidFill>
                <a:srgbClr val="00B050"/>
              </a:solidFill>
              <a:round/>
            </a:ln>
            <a:effectLst/>
          </c:spPr>
          <c:marker>
            <c:symbol val="none"/>
          </c:marker>
          <c:cat>
            <c:numRef>
              <c:f>'grafico cicli 2014 (2)'!$A$2:$A$71</c:f>
              <c:numCache>
                <c:formatCode>0</c:formatCode>
                <c:ptCount val="70"/>
                <c:pt idx="0">
                  <c:v>1958</c:v>
                </c:pt>
                <c:pt idx="1">
                  <c:v>1959</c:v>
                </c:pt>
                <c:pt idx="2">
                  <c:v>1960</c:v>
                </c:pt>
                <c:pt idx="3">
                  <c:v>1961</c:v>
                </c:pt>
                <c:pt idx="4">
                  <c:v>1962</c:v>
                </c:pt>
                <c:pt idx="5">
                  <c:v>1963</c:v>
                </c:pt>
                <c:pt idx="6">
                  <c:v>1964</c:v>
                </c:pt>
                <c:pt idx="7">
                  <c:v>1965</c:v>
                </c:pt>
                <c:pt idx="8">
                  <c:v>1966</c:v>
                </c:pt>
                <c:pt idx="9">
                  <c:v>1967</c:v>
                </c:pt>
                <c:pt idx="10">
                  <c:v>1968</c:v>
                </c:pt>
                <c:pt idx="11">
                  <c:v>1969</c:v>
                </c:pt>
                <c:pt idx="12">
                  <c:v>1970</c:v>
                </c:pt>
                <c:pt idx="13">
                  <c:v>1971</c:v>
                </c:pt>
                <c:pt idx="14">
                  <c:v>1972</c:v>
                </c:pt>
                <c:pt idx="15">
                  <c:v>1973</c:v>
                </c:pt>
                <c:pt idx="16">
                  <c:v>1974</c:v>
                </c:pt>
                <c:pt idx="17">
                  <c:v>1975</c:v>
                </c:pt>
                <c:pt idx="18">
                  <c:v>1976</c:v>
                </c:pt>
                <c:pt idx="19">
                  <c:v>1977</c:v>
                </c:pt>
                <c:pt idx="20">
                  <c:v>1978</c:v>
                </c:pt>
                <c:pt idx="21">
                  <c:v>1979</c:v>
                </c:pt>
                <c:pt idx="22">
                  <c:v>1980</c:v>
                </c:pt>
                <c:pt idx="23">
                  <c:v>1981</c:v>
                </c:pt>
                <c:pt idx="24">
                  <c:v>1982</c:v>
                </c:pt>
                <c:pt idx="25">
                  <c:v>1983</c:v>
                </c:pt>
                <c:pt idx="26">
                  <c:v>1984</c:v>
                </c:pt>
                <c:pt idx="27">
                  <c:v>1985</c:v>
                </c:pt>
                <c:pt idx="28">
                  <c:v>1986</c:v>
                </c:pt>
                <c:pt idx="29">
                  <c:v>1987</c:v>
                </c:pt>
                <c:pt idx="30">
                  <c:v>1988</c:v>
                </c:pt>
                <c:pt idx="31">
                  <c:v>1989</c:v>
                </c:pt>
                <c:pt idx="32">
                  <c:v>1990</c:v>
                </c:pt>
                <c:pt idx="33">
                  <c:v>1991</c:v>
                </c:pt>
                <c:pt idx="34">
                  <c:v>1992</c:v>
                </c:pt>
                <c:pt idx="35">
                  <c:v>1993</c:v>
                </c:pt>
                <c:pt idx="36">
                  <c:v>1994</c:v>
                </c:pt>
                <c:pt idx="37">
                  <c:v>1995</c:v>
                </c:pt>
                <c:pt idx="38">
                  <c:v>1996</c:v>
                </c:pt>
                <c:pt idx="39">
                  <c:v>1997</c:v>
                </c:pt>
                <c:pt idx="40">
                  <c:v>1998</c:v>
                </c:pt>
                <c:pt idx="41">
                  <c:v>1999</c:v>
                </c:pt>
                <c:pt idx="42">
                  <c:v>2000</c:v>
                </c:pt>
                <c:pt idx="43">
                  <c:v>2001</c:v>
                </c:pt>
                <c:pt idx="44">
                  <c:v>2002</c:v>
                </c:pt>
                <c:pt idx="45">
                  <c:v>2003</c:v>
                </c:pt>
                <c:pt idx="46">
                  <c:v>2004</c:v>
                </c:pt>
                <c:pt idx="47">
                  <c:v>2005</c:v>
                </c:pt>
                <c:pt idx="48">
                  <c:v>2006</c:v>
                </c:pt>
                <c:pt idx="49">
                  <c:v>2007</c:v>
                </c:pt>
                <c:pt idx="50">
                  <c:v>2008</c:v>
                </c:pt>
                <c:pt idx="51">
                  <c:v>2009</c:v>
                </c:pt>
                <c:pt idx="52">
                  <c:v>2010</c:v>
                </c:pt>
                <c:pt idx="53">
                  <c:v>2011</c:v>
                </c:pt>
                <c:pt idx="54">
                  <c:v>2012</c:v>
                </c:pt>
                <c:pt idx="55">
                  <c:v>2013</c:v>
                </c:pt>
                <c:pt idx="56">
                  <c:v>2014</c:v>
                </c:pt>
                <c:pt idx="57">
                  <c:v>2015</c:v>
                </c:pt>
                <c:pt idx="58">
                  <c:v>2016</c:v>
                </c:pt>
                <c:pt idx="59">
                  <c:v>2017</c:v>
                </c:pt>
                <c:pt idx="60">
                  <c:v>2018</c:v>
                </c:pt>
                <c:pt idx="61">
                  <c:v>2019</c:v>
                </c:pt>
                <c:pt idx="62">
                  <c:v>2020</c:v>
                </c:pt>
                <c:pt idx="63">
                  <c:v>2021</c:v>
                </c:pt>
                <c:pt idx="64">
                  <c:v>2022</c:v>
                </c:pt>
                <c:pt idx="65">
                  <c:v>2023</c:v>
                </c:pt>
                <c:pt idx="66">
                  <c:v>2024</c:v>
                </c:pt>
                <c:pt idx="67">
                  <c:v>2025</c:v>
                </c:pt>
                <c:pt idx="68">
                  <c:v>2026</c:v>
                </c:pt>
                <c:pt idx="69">
                  <c:v>2027</c:v>
                </c:pt>
              </c:numCache>
            </c:numRef>
          </c:cat>
          <c:val>
            <c:numRef>
              <c:f>'grafico cicli 2014 (2)'!$C$2:$C$71</c:f>
              <c:numCache>
                <c:formatCode>#,##0.0</c:formatCode>
                <c:ptCount val="70"/>
                <c:pt idx="0">
                  <c:v>100</c:v>
                </c:pt>
                <c:pt idx="1">
                  <c:v>105.6278519520027</c:v>
                </c:pt>
                <c:pt idx="2">
                  <c:v>113</c:v>
                </c:pt>
                <c:pt idx="3">
                  <c:v>120</c:v>
                </c:pt>
                <c:pt idx="4">
                  <c:v>97.999999999999986</c:v>
                </c:pt>
                <c:pt idx="5">
                  <c:v>99.999999999999986</c:v>
                </c:pt>
                <c:pt idx="6">
                  <c:v>104.99999999999999</c:v>
                </c:pt>
                <c:pt idx="7">
                  <c:v>116.99999999999999</c:v>
                </c:pt>
                <c:pt idx="8">
                  <c:v>124.99999999999999</c:v>
                </c:pt>
                <c:pt idx="9">
                  <c:v>140</c:v>
                </c:pt>
                <c:pt idx="10">
                  <c:v>152.99999999999997</c:v>
                </c:pt>
                <c:pt idx="11">
                  <c:v>164.99999999999997</c:v>
                </c:pt>
                <c:pt idx="12">
                  <c:v>190.99999999999997</c:v>
                </c:pt>
                <c:pt idx="13">
                  <c:v>176.99999999999997</c:v>
                </c:pt>
                <c:pt idx="14">
                  <c:v>195.99999999999997</c:v>
                </c:pt>
                <c:pt idx="15">
                  <c:v>144.99999999999997</c:v>
                </c:pt>
                <c:pt idx="16">
                  <c:v>153.99999999999997</c:v>
                </c:pt>
                <c:pt idx="17">
                  <c:v>123.99999999999997</c:v>
                </c:pt>
                <c:pt idx="18">
                  <c:v>169.99999999999997</c:v>
                </c:pt>
                <c:pt idx="19">
                  <c:v>163.99999999999997</c:v>
                </c:pt>
                <c:pt idx="20">
                  <c:v>181.99999999999994</c:v>
                </c:pt>
                <c:pt idx="21">
                  <c:v>201.99999999999994</c:v>
                </c:pt>
                <c:pt idx="22">
                  <c:v>224.99999999999997</c:v>
                </c:pt>
                <c:pt idx="23">
                  <c:v>216</c:v>
                </c:pt>
                <c:pt idx="24">
                  <c:v>158</c:v>
                </c:pt>
                <c:pt idx="25">
                  <c:v>143</c:v>
                </c:pt>
                <c:pt idx="26">
                  <c:v>135</c:v>
                </c:pt>
                <c:pt idx="27">
                  <c:v>151.70412934482565</c:v>
                </c:pt>
                <c:pt idx="28">
                  <c:v>163.60205058869923</c:v>
                </c:pt>
                <c:pt idx="29">
                  <c:v>163.59923384598051</c:v>
                </c:pt>
                <c:pt idx="30">
                  <c:v>174.22117063827389</c:v>
                </c:pt>
                <c:pt idx="31">
                  <c:v>167.7968846825531</c:v>
                </c:pt>
                <c:pt idx="32">
                  <c:v>182.7661117683511</c:v>
                </c:pt>
                <c:pt idx="33">
                  <c:v>196.78046307250298</c:v>
                </c:pt>
                <c:pt idx="34">
                  <c:v>164.55868683454457</c:v>
                </c:pt>
                <c:pt idx="35">
                  <c:v>177.41641315982201</c:v>
                </c:pt>
                <c:pt idx="36">
                  <c:v>175.05281392597604</c:v>
                </c:pt>
                <c:pt idx="37">
                  <c:v>177.61957072840971</c:v>
                </c:pt>
                <c:pt idx="38">
                  <c:v>170.33617824347928</c:v>
                </c:pt>
                <c:pt idx="39">
                  <c:v>185.07619289054142</c:v>
                </c:pt>
                <c:pt idx="40">
                  <c:v>203.71035434623406</c:v>
                </c:pt>
                <c:pt idx="41">
                  <c:v>226.04360317728583</c:v>
                </c:pt>
                <c:pt idx="42">
                  <c:v>245.22491690608985</c:v>
                </c:pt>
                <c:pt idx="43">
                  <c:v>241.980733479804</c:v>
                </c:pt>
                <c:pt idx="44">
                  <c:v>270.59109345952345</c:v>
                </c:pt>
                <c:pt idx="45">
                  <c:v>270.78932172835334</c:v>
                </c:pt>
                <c:pt idx="46">
                  <c:v>294.04153287138757</c:v>
                </c:pt>
                <c:pt idx="47">
                  <c:v>304.91239930144786</c:v>
                </c:pt>
                <c:pt idx="48">
                  <c:v>308.78542053968795</c:v>
                </c:pt>
                <c:pt idx="49">
                  <c:v>287.30775730944742</c:v>
                </c:pt>
                <c:pt idx="50">
                  <c:v>242.59196664976628</c:v>
                </c:pt>
                <c:pt idx="51" formatCode="0.0">
                  <c:v>216.18500366176559</c:v>
                </c:pt>
                <c:pt idx="52" formatCode="0.0">
                  <c:v>217.24128218128561</c:v>
                </c:pt>
                <c:pt idx="53" formatCode="0.0">
                  <c:v>212.31198242352548</c:v>
                </c:pt>
                <c:pt idx="54" formatCode="0.0">
                  <c:v>157.73759224832406</c:v>
                </c:pt>
                <c:pt idx="55" formatCode="0.0">
                  <c:v>143.30178581488369</c:v>
                </c:pt>
                <c:pt idx="56" formatCode="0.0">
                  <c:v>148.23108557264379</c:v>
                </c:pt>
                <c:pt idx="57" formatCode="General">
                  <c:v>154.1</c:v>
                </c:pt>
              </c:numCache>
            </c:numRef>
          </c:val>
          <c:smooth val="0"/>
        </c:ser>
        <c:ser>
          <c:idx val="3"/>
          <c:order val="3"/>
          <c:tx>
            <c:strRef>
              <c:f>'grafico cicli 2014 (2)'!$E$1</c:f>
              <c:strCache>
                <c:ptCount val="1"/>
                <c:pt idx="0">
                  <c:v>Compravendite Future</c:v>
                </c:pt>
              </c:strCache>
            </c:strRef>
          </c:tx>
          <c:spPr>
            <a:ln w="38100" cap="rnd">
              <a:solidFill>
                <a:schemeClr val="accent2">
                  <a:lumMod val="75000"/>
                </a:schemeClr>
              </a:solidFill>
              <a:round/>
            </a:ln>
            <a:effectLst/>
          </c:spPr>
          <c:marker>
            <c:symbol val="none"/>
          </c:marker>
          <c:cat>
            <c:numRef>
              <c:f>'grafico cicli 2014 (2)'!$A$2:$A$71</c:f>
              <c:numCache>
                <c:formatCode>0</c:formatCode>
                <c:ptCount val="70"/>
                <c:pt idx="0">
                  <c:v>1958</c:v>
                </c:pt>
                <c:pt idx="1">
                  <c:v>1959</c:v>
                </c:pt>
                <c:pt idx="2">
                  <c:v>1960</c:v>
                </c:pt>
                <c:pt idx="3">
                  <c:v>1961</c:v>
                </c:pt>
                <c:pt idx="4">
                  <c:v>1962</c:v>
                </c:pt>
                <c:pt idx="5">
                  <c:v>1963</c:v>
                </c:pt>
                <c:pt idx="6">
                  <c:v>1964</c:v>
                </c:pt>
                <c:pt idx="7">
                  <c:v>1965</c:v>
                </c:pt>
                <c:pt idx="8">
                  <c:v>1966</c:v>
                </c:pt>
                <c:pt idx="9">
                  <c:v>1967</c:v>
                </c:pt>
                <c:pt idx="10">
                  <c:v>1968</c:v>
                </c:pt>
                <c:pt idx="11">
                  <c:v>1969</c:v>
                </c:pt>
                <c:pt idx="12">
                  <c:v>1970</c:v>
                </c:pt>
                <c:pt idx="13">
                  <c:v>1971</c:v>
                </c:pt>
                <c:pt idx="14">
                  <c:v>1972</c:v>
                </c:pt>
                <c:pt idx="15">
                  <c:v>1973</c:v>
                </c:pt>
                <c:pt idx="16">
                  <c:v>1974</c:v>
                </c:pt>
                <c:pt idx="17">
                  <c:v>1975</c:v>
                </c:pt>
                <c:pt idx="18">
                  <c:v>1976</c:v>
                </c:pt>
                <c:pt idx="19">
                  <c:v>1977</c:v>
                </c:pt>
                <c:pt idx="20">
                  <c:v>1978</c:v>
                </c:pt>
                <c:pt idx="21">
                  <c:v>1979</c:v>
                </c:pt>
                <c:pt idx="22">
                  <c:v>1980</c:v>
                </c:pt>
                <c:pt idx="23">
                  <c:v>1981</c:v>
                </c:pt>
                <c:pt idx="24">
                  <c:v>1982</c:v>
                </c:pt>
                <c:pt idx="25">
                  <c:v>1983</c:v>
                </c:pt>
                <c:pt idx="26">
                  <c:v>1984</c:v>
                </c:pt>
                <c:pt idx="27">
                  <c:v>1985</c:v>
                </c:pt>
                <c:pt idx="28">
                  <c:v>1986</c:v>
                </c:pt>
                <c:pt idx="29">
                  <c:v>1987</c:v>
                </c:pt>
                <c:pt idx="30">
                  <c:v>1988</c:v>
                </c:pt>
                <c:pt idx="31">
                  <c:v>1989</c:v>
                </c:pt>
                <c:pt idx="32">
                  <c:v>1990</c:v>
                </c:pt>
                <c:pt idx="33">
                  <c:v>1991</c:v>
                </c:pt>
                <c:pt idx="34">
                  <c:v>1992</c:v>
                </c:pt>
                <c:pt idx="35">
                  <c:v>1993</c:v>
                </c:pt>
                <c:pt idx="36">
                  <c:v>1994</c:v>
                </c:pt>
                <c:pt idx="37">
                  <c:v>1995</c:v>
                </c:pt>
                <c:pt idx="38">
                  <c:v>1996</c:v>
                </c:pt>
                <c:pt idx="39">
                  <c:v>1997</c:v>
                </c:pt>
                <c:pt idx="40">
                  <c:v>1998</c:v>
                </c:pt>
                <c:pt idx="41">
                  <c:v>1999</c:v>
                </c:pt>
                <c:pt idx="42">
                  <c:v>2000</c:v>
                </c:pt>
                <c:pt idx="43">
                  <c:v>2001</c:v>
                </c:pt>
                <c:pt idx="44">
                  <c:v>2002</c:v>
                </c:pt>
                <c:pt idx="45">
                  <c:v>2003</c:v>
                </c:pt>
                <c:pt idx="46">
                  <c:v>2004</c:v>
                </c:pt>
                <c:pt idx="47">
                  <c:v>2005</c:v>
                </c:pt>
                <c:pt idx="48">
                  <c:v>2006</c:v>
                </c:pt>
                <c:pt idx="49">
                  <c:v>2007</c:v>
                </c:pt>
                <c:pt idx="50">
                  <c:v>2008</c:v>
                </c:pt>
                <c:pt idx="51">
                  <c:v>2009</c:v>
                </c:pt>
                <c:pt idx="52">
                  <c:v>2010</c:v>
                </c:pt>
                <c:pt idx="53">
                  <c:v>2011</c:v>
                </c:pt>
                <c:pt idx="54">
                  <c:v>2012</c:v>
                </c:pt>
                <c:pt idx="55">
                  <c:v>2013</c:v>
                </c:pt>
                <c:pt idx="56">
                  <c:v>2014</c:v>
                </c:pt>
                <c:pt idx="57">
                  <c:v>2015</c:v>
                </c:pt>
                <c:pt idx="58">
                  <c:v>2016</c:v>
                </c:pt>
                <c:pt idx="59">
                  <c:v>2017</c:v>
                </c:pt>
                <c:pt idx="60">
                  <c:v>2018</c:v>
                </c:pt>
                <c:pt idx="61">
                  <c:v>2019</c:v>
                </c:pt>
                <c:pt idx="62">
                  <c:v>2020</c:v>
                </c:pt>
                <c:pt idx="63">
                  <c:v>2021</c:v>
                </c:pt>
                <c:pt idx="64">
                  <c:v>2022</c:v>
                </c:pt>
                <c:pt idx="65">
                  <c:v>2023</c:v>
                </c:pt>
                <c:pt idx="66">
                  <c:v>2024</c:v>
                </c:pt>
                <c:pt idx="67">
                  <c:v>2025</c:v>
                </c:pt>
                <c:pt idx="68">
                  <c:v>2026</c:v>
                </c:pt>
                <c:pt idx="69">
                  <c:v>2027</c:v>
                </c:pt>
              </c:numCache>
            </c:numRef>
          </c:cat>
          <c:val>
            <c:numRef>
              <c:f>'grafico cicli 2014 (2)'!$G$2:$G$71</c:f>
              <c:numCache>
                <c:formatCode>General</c:formatCode>
                <c:ptCount val="70"/>
                <c:pt idx="57">
                  <c:v>154.1</c:v>
                </c:pt>
                <c:pt idx="58">
                  <c:v>161.57</c:v>
                </c:pt>
                <c:pt idx="59">
                  <c:v>175.69</c:v>
                </c:pt>
                <c:pt idx="60">
                  <c:v>186.1</c:v>
                </c:pt>
                <c:pt idx="61">
                  <c:v>190.07</c:v>
                </c:pt>
                <c:pt idx="62">
                  <c:v>193.32</c:v>
                </c:pt>
                <c:pt idx="63">
                  <c:v>175.75</c:v>
                </c:pt>
                <c:pt idx="64">
                  <c:v>173.15</c:v>
                </c:pt>
                <c:pt idx="65">
                  <c:v>150.19</c:v>
                </c:pt>
                <c:pt idx="66">
                  <c:v>144.96</c:v>
                </c:pt>
                <c:pt idx="67">
                  <c:v>154.13</c:v>
                </c:pt>
                <c:pt idx="68">
                  <c:v>173.55</c:v>
                </c:pt>
                <c:pt idx="69">
                  <c:v>187.88</c:v>
                </c:pt>
              </c:numCache>
            </c:numRef>
          </c:val>
          <c:smooth val="0"/>
        </c:ser>
        <c:dLbls>
          <c:showLegendKey val="0"/>
          <c:showVal val="0"/>
          <c:showCatName val="0"/>
          <c:showSerName val="0"/>
          <c:showPercent val="0"/>
          <c:showBubbleSize val="0"/>
        </c:dLbls>
        <c:smooth val="0"/>
        <c:axId val="464247232"/>
        <c:axId val="464247624"/>
        <c:extLst>
          <c:ext xmlns:c15="http://schemas.microsoft.com/office/drawing/2012/chart" uri="{02D57815-91ED-43cb-92C2-25804820EDAC}">
            <c15:filteredLineSeries>
              <c15:ser>
                <c:idx val="0"/>
                <c:order val="0"/>
                <c:tx>
                  <c:strRef>
                    <c:extLst>
                      <c:ext uri="{02D57815-91ED-43cb-92C2-25804820EDAC}">
                        <c15:formulaRef>
                          <c15:sqref>'grafico cicli 2014 (2)'!$B$1</c15:sqref>
                        </c15:formulaRef>
                      </c:ext>
                    </c:extLst>
                    <c:strCache>
                      <c:ptCount val="1"/>
                      <c:pt idx="0">
                        <c:v>Prezzi reali</c:v>
                      </c:pt>
                    </c:strCache>
                  </c:strRef>
                </c:tx>
                <c:spPr>
                  <a:ln w="38100" cap="rnd">
                    <a:solidFill>
                      <a:schemeClr val="accent1"/>
                    </a:solidFill>
                    <a:round/>
                  </a:ln>
                  <a:effectLst/>
                </c:spPr>
                <c:marker>
                  <c:symbol val="none"/>
                </c:marker>
                <c:cat>
                  <c:numRef>
                    <c:extLst>
                      <c:ext uri="{02D57815-91ED-43cb-92C2-25804820EDAC}">
                        <c15:formulaRef>
                          <c15:sqref>'grafico cicli 2014 (2)'!$A$2:$A$71</c15:sqref>
                        </c15:formulaRef>
                      </c:ext>
                    </c:extLst>
                    <c:numCache>
                      <c:formatCode>0</c:formatCode>
                      <c:ptCount val="70"/>
                      <c:pt idx="0">
                        <c:v>1958</c:v>
                      </c:pt>
                      <c:pt idx="1">
                        <c:v>1959</c:v>
                      </c:pt>
                      <c:pt idx="2">
                        <c:v>1960</c:v>
                      </c:pt>
                      <c:pt idx="3">
                        <c:v>1961</c:v>
                      </c:pt>
                      <c:pt idx="4">
                        <c:v>1962</c:v>
                      </c:pt>
                      <c:pt idx="5">
                        <c:v>1963</c:v>
                      </c:pt>
                      <c:pt idx="6">
                        <c:v>1964</c:v>
                      </c:pt>
                      <c:pt idx="7">
                        <c:v>1965</c:v>
                      </c:pt>
                      <c:pt idx="8">
                        <c:v>1966</c:v>
                      </c:pt>
                      <c:pt idx="9">
                        <c:v>1967</c:v>
                      </c:pt>
                      <c:pt idx="10">
                        <c:v>1968</c:v>
                      </c:pt>
                      <c:pt idx="11">
                        <c:v>1969</c:v>
                      </c:pt>
                      <c:pt idx="12">
                        <c:v>1970</c:v>
                      </c:pt>
                      <c:pt idx="13">
                        <c:v>1971</c:v>
                      </c:pt>
                      <c:pt idx="14">
                        <c:v>1972</c:v>
                      </c:pt>
                      <c:pt idx="15">
                        <c:v>1973</c:v>
                      </c:pt>
                      <c:pt idx="16">
                        <c:v>1974</c:v>
                      </c:pt>
                      <c:pt idx="17">
                        <c:v>1975</c:v>
                      </c:pt>
                      <c:pt idx="18">
                        <c:v>1976</c:v>
                      </c:pt>
                      <c:pt idx="19">
                        <c:v>1977</c:v>
                      </c:pt>
                      <c:pt idx="20">
                        <c:v>1978</c:v>
                      </c:pt>
                      <c:pt idx="21">
                        <c:v>1979</c:v>
                      </c:pt>
                      <c:pt idx="22">
                        <c:v>1980</c:v>
                      </c:pt>
                      <c:pt idx="23">
                        <c:v>1981</c:v>
                      </c:pt>
                      <c:pt idx="24">
                        <c:v>1982</c:v>
                      </c:pt>
                      <c:pt idx="25">
                        <c:v>1983</c:v>
                      </c:pt>
                      <c:pt idx="26">
                        <c:v>1984</c:v>
                      </c:pt>
                      <c:pt idx="27">
                        <c:v>1985</c:v>
                      </c:pt>
                      <c:pt idx="28">
                        <c:v>1986</c:v>
                      </c:pt>
                      <c:pt idx="29">
                        <c:v>1987</c:v>
                      </c:pt>
                      <c:pt idx="30">
                        <c:v>1988</c:v>
                      </c:pt>
                      <c:pt idx="31">
                        <c:v>1989</c:v>
                      </c:pt>
                      <c:pt idx="32">
                        <c:v>1990</c:v>
                      </c:pt>
                      <c:pt idx="33">
                        <c:v>1991</c:v>
                      </c:pt>
                      <c:pt idx="34">
                        <c:v>1992</c:v>
                      </c:pt>
                      <c:pt idx="35">
                        <c:v>1993</c:v>
                      </c:pt>
                      <c:pt idx="36">
                        <c:v>1994</c:v>
                      </c:pt>
                      <c:pt idx="37">
                        <c:v>1995</c:v>
                      </c:pt>
                      <c:pt idx="38">
                        <c:v>1996</c:v>
                      </c:pt>
                      <c:pt idx="39">
                        <c:v>1997</c:v>
                      </c:pt>
                      <c:pt idx="40">
                        <c:v>1998</c:v>
                      </c:pt>
                      <c:pt idx="41">
                        <c:v>1999</c:v>
                      </c:pt>
                      <c:pt idx="42">
                        <c:v>2000</c:v>
                      </c:pt>
                      <c:pt idx="43">
                        <c:v>2001</c:v>
                      </c:pt>
                      <c:pt idx="44">
                        <c:v>2002</c:v>
                      </c:pt>
                      <c:pt idx="45">
                        <c:v>2003</c:v>
                      </c:pt>
                      <c:pt idx="46">
                        <c:v>2004</c:v>
                      </c:pt>
                      <c:pt idx="47">
                        <c:v>2005</c:v>
                      </c:pt>
                      <c:pt idx="48">
                        <c:v>2006</c:v>
                      </c:pt>
                      <c:pt idx="49">
                        <c:v>2007</c:v>
                      </c:pt>
                      <c:pt idx="50">
                        <c:v>2008</c:v>
                      </c:pt>
                      <c:pt idx="51">
                        <c:v>2009</c:v>
                      </c:pt>
                      <c:pt idx="52">
                        <c:v>2010</c:v>
                      </c:pt>
                      <c:pt idx="53">
                        <c:v>2011</c:v>
                      </c:pt>
                      <c:pt idx="54">
                        <c:v>2012</c:v>
                      </c:pt>
                      <c:pt idx="55">
                        <c:v>2013</c:v>
                      </c:pt>
                      <c:pt idx="56">
                        <c:v>2014</c:v>
                      </c:pt>
                      <c:pt idx="57">
                        <c:v>2015</c:v>
                      </c:pt>
                      <c:pt idx="58">
                        <c:v>2016</c:v>
                      </c:pt>
                      <c:pt idx="59">
                        <c:v>2017</c:v>
                      </c:pt>
                      <c:pt idx="60">
                        <c:v>2018</c:v>
                      </c:pt>
                      <c:pt idx="61">
                        <c:v>2019</c:v>
                      </c:pt>
                      <c:pt idx="62">
                        <c:v>2020</c:v>
                      </c:pt>
                      <c:pt idx="63">
                        <c:v>2021</c:v>
                      </c:pt>
                      <c:pt idx="64">
                        <c:v>2022</c:v>
                      </c:pt>
                      <c:pt idx="65">
                        <c:v>2023</c:v>
                      </c:pt>
                      <c:pt idx="66">
                        <c:v>2024</c:v>
                      </c:pt>
                      <c:pt idx="67">
                        <c:v>2025</c:v>
                      </c:pt>
                      <c:pt idx="68">
                        <c:v>2026</c:v>
                      </c:pt>
                      <c:pt idx="69">
                        <c:v>2027</c:v>
                      </c:pt>
                    </c:numCache>
                  </c:numRef>
                </c:cat>
                <c:val>
                  <c:numRef>
                    <c:extLst>
                      <c:ext uri="{02D57815-91ED-43cb-92C2-25804820EDAC}">
                        <c15:formulaRef>
                          <c15:sqref>'grafico cicli 2014 (2)'!$B$2:$B$61</c15:sqref>
                        </c15:formulaRef>
                      </c:ext>
                    </c:extLst>
                    <c:numCache>
                      <c:formatCode>#,##0.0</c:formatCode>
                      <c:ptCount val="60"/>
                      <c:pt idx="0">
                        <c:v>100</c:v>
                      </c:pt>
                      <c:pt idx="1">
                        <c:v>102.34604105571847</c:v>
                      </c:pt>
                      <c:pt idx="2">
                        <c:v>103.3724340175953</c:v>
                      </c:pt>
                      <c:pt idx="3">
                        <c:v>102.27272727272727</c:v>
                      </c:pt>
                      <c:pt idx="4">
                        <c:v>102.41935483870968</c:v>
                      </c:pt>
                      <c:pt idx="5">
                        <c:v>103.1524926686217</c:v>
                      </c:pt>
                      <c:pt idx="6">
                        <c:v>103.37243401759532</c:v>
                      </c:pt>
                      <c:pt idx="7">
                        <c:v>103.37243401759532</c:v>
                      </c:pt>
                      <c:pt idx="8">
                        <c:v>102.78592375366571</c:v>
                      </c:pt>
                      <c:pt idx="9">
                        <c:v>103.51906158357772</c:v>
                      </c:pt>
                      <c:pt idx="10">
                        <c:v>103.59237536656892</c:v>
                      </c:pt>
                      <c:pt idx="11">
                        <c:v>102.05278592375367</c:v>
                      </c:pt>
                      <c:pt idx="12">
                        <c:v>113.56304985337245</c:v>
                      </c:pt>
                      <c:pt idx="13">
                        <c:v>136.950146627566</c:v>
                      </c:pt>
                      <c:pt idx="14">
                        <c:v>143.3284457478006</c:v>
                      </c:pt>
                      <c:pt idx="15">
                        <c:v>154.61876832844578</c:v>
                      </c:pt>
                      <c:pt idx="16">
                        <c:v>181.23167155425224</c:v>
                      </c:pt>
                      <c:pt idx="17">
                        <c:v>175.29325513196486</c:v>
                      </c:pt>
                      <c:pt idx="18">
                        <c:v>166.20234604105576</c:v>
                      </c:pt>
                      <c:pt idx="19">
                        <c:v>165.90909090909093</c:v>
                      </c:pt>
                      <c:pt idx="20">
                        <c:v>172.28739002932554</c:v>
                      </c:pt>
                      <c:pt idx="21">
                        <c:v>180.49853372434021</c:v>
                      </c:pt>
                      <c:pt idx="22">
                        <c:v>184.0175953079179</c:v>
                      </c:pt>
                      <c:pt idx="23">
                        <c:v>251.09970674486803</c:v>
                      </c:pt>
                      <c:pt idx="24">
                        <c:v>253.88563049853371</c:v>
                      </c:pt>
                      <c:pt idx="25">
                        <c:v>226.39296187683283</c:v>
                      </c:pt>
                      <c:pt idx="26">
                        <c:v>219.64809384164221</c:v>
                      </c:pt>
                      <c:pt idx="27">
                        <c:v>206.89149560117301</c:v>
                      </c:pt>
                      <c:pt idx="28">
                        <c:v>207.84457478005865</c:v>
                      </c:pt>
                      <c:pt idx="29">
                        <c:v>211.21700879765396</c:v>
                      </c:pt>
                      <c:pt idx="30">
                        <c:v>217.00879765395896</c:v>
                      </c:pt>
                      <c:pt idx="31">
                        <c:v>225.65982404692085</c:v>
                      </c:pt>
                      <c:pt idx="32">
                        <c:v>247.58064516129036</c:v>
                      </c:pt>
                      <c:pt idx="33">
                        <c:v>278.59237536656894</c:v>
                      </c:pt>
                      <c:pt idx="34">
                        <c:v>289.36950146627572</c:v>
                      </c:pt>
                      <c:pt idx="35">
                        <c:v>265.54252199413497</c:v>
                      </c:pt>
                      <c:pt idx="36">
                        <c:v>247.06744868035199</c:v>
                      </c:pt>
                      <c:pt idx="37">
                        <c:v>231.67155425219948</c:v>
                      </c:pt>
                      <c:pt idx="38">
                        <c:v>222.87390029325519</c:v>
                      </c:pt>
                      <c:pt idx="39">
                        <c:v>216.56891495601178</c:v>
                      </c:pt>
                      <c:pt idx="40">
                        <c:v>212.75659824046926</c:v>
                      </c:pt>
                      <c:pt idx="41">
                        <c:v>214.44281524926691</c:v>
                      </c:pt>
                      <c:pt idx="42">
                        <c:v>229.61876832844581</c:v>
                      </c:pt>
                      <c:pt idx="43">
                        <c:v>243.03519061583586</c:v>
                      </c:pt>
                      <c:pt idx="44">
                        <c:v>255.71847507331387</c:v>
                      </c:pt>
                      <c:pt idx="45">
                        <c:v>267.44868035190626</c:v>
                      </c:pt>
                      <c:pt idx="46">
                        <c:v>279.17888563049866</c:v>
                      </c:pt>
                      <c:pt idx="47">
                        <c:v>289.00293255131982</c:v>
                      </c:pt>
                      <c:pt idx="48">
                        <c:v>297.21407624633446</c:v>
                      </c:pt>
                      <c:pt idx="49">
                        <c:v>304.39882697947229</c:v>
                      </c:pt>
                      <c:pt idx="50">
                        <c:v>298.82697947214092</c:v>
                      </c:pt>
                      <c:pt idx="51" formatCode="0.0">
                        <c:v>277.27272727272742</c:v>
                      </c:pt>
                      <c:pt idx="52" formatCode="0.0">
                        <c:v>265.98240469208224</c:v>
                      </c:pt>
                      <c:pt idx="53" formatCode="0.0">
                        <c:v>263.78299120234618</c:v>
                      </c:pt>
                      <c:pt idx="54" formatCode="0.0">
                        <c:v>256.45161290322591</c:v>
                      </c:pt>
                      <c:pt idx="55" formatCode="0.0">
                        <c:v>241.78885630498542</c:v>
                      </c:pt>
                      <c:pt idx="56" formatCode="0.0">
                        <c:v>231.15835777126105</c:v>
                      </c:pt>
                      <c:pt idx="57" formatCode="General">
                        <c:v>225.4</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'grafico cicli 2014 (2)'!$D$1</c15:sqref>
                        </c15:formulaRef>
                      </c:ext>
                    </c:extLst>
                    <c:strCache>
                      <c:ptCount val="1"/>
                      <c:pt idx="0">
                        <c:v>Prezzi Futuri</c:v>
                      </c:pt>
                    </c:strCache>
                  </c:strRef>
                </c:tx>
                <c:spPr>
                  <a:ln w="38100"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'grafico cicli 2014 (2)'!$A$2:$A$71</c15:sqref>
                        </c15:formulaRef>
                      </c:ext>
                    </c:extLst>
                    <c:numCache>
                      <c:formatCode>0</c:formatCode>
                      <c:ptCount val="70"/>
                      <c:pt idx="0">
                        <c:v>1958</c:v>
                      </c:pt>
                      <c:pt idx="1">
                        <c:v>1959</c:v>
                      </c:pt>
                      <c:pt idx="2">
                        <c:v>1960</c:v>
                      </c:pt>
                      <c:pt idx="3">
                        <c:v>1961</c:v>
                      </c:pt>
                      <c:pt idx="4">
                        <c:v>1962</c:v>
                      </c:pt>
                      <c:pt idx="5">
                        <c:v>1963</c:v>
                      </c:pt>
                      <c:pt idx="6">
                        <c:v>1964</c:v>
                      </c:pt>
                      <c:pt idx="7">
                        <c:v>1965</c:v>
                      </c:pt>
                      <c:pt idx="8">
                        <c:v>1966</c:v>
                      </c:pt>
                      <c:pt idx="9">
                        <c:v>1967</c:v>
                      </c:pt>
                      <c:pt idx="10">
                        <c:v>1968</c:v>
                      </c:pt>
                      <c:pt idx="11">
                        <c:v>1969</c:v>
                      </c:pt>
                      <c:pt idx="12">
                        <c:v>1970</c:v>
                      </c:pt>
                      <c:pt idx="13">
                        <c:v>1971</c:v>
                      </c:pt>
                      <c:pt idx="14">
                        <c:v>1972</c:v>
                      </c:pt>
                      <c:pt idx="15">
                        <c:v>1973</c:v>
                      </c:pt>
                      <c:pt idx="16">
                        <c:v>1974</c:v>
                      </c:pt>
                      <c:pt idx="17">
                        <c:v>1975</c:v>
                      </c:pt>
                      <c:pt idx="18">
                        <c:v>1976</c:v>
                      </c:pt>
                      <c:pt idx="19">
                        <c:v>1977</c:v>
                      </c:pt>
                      <c:pt idx="20">
                        <c:v>1978</c:v>
                      </c:pt>
                      <c:pt idx="21">
                        <c:v>1979</c:v>
                      </c:pt>
                      <c:pt idx="22">
                        <c:v>1980</c:v>
                      </c:pt>
                      <c:pt idx="23">
                        <c:v>1981</c:v>
                      </c:pt>
                      <c:pt idx="24">
                        <c:v>1982</c:v>
                      </c:pt>
                      <c:pt idx="25">
                        <c:v>1983</c:v>
                      </c:pt>
                      <c:pt idx="26">
                        <c:v>1984</c:v>
                      </c:pt>
                      <c:pt idx="27">
                        <c:v>1985</c:v>
                      </c:pt>
                      <c:pt idx="28">
                        <c:v>1986</c:v>
                      </c:pt>
                      <c:pt idx="29">
                        <c:v>1987</c:v>
                      </c:pt>
                      <c:pt idx="30">
                        <c:v>1988</c:v>
                      </c:pt>
                      <c:pt idx="31">
                        <c:v>1989</c:v>
                      </c:pt>
                      <c:pt idx="32">
                        <c:v>1990</c:v>
                      </c:pt>
                      <c:pt idx="33">
                        <c:v>1991</c:v>
                      </c:pt>
                      <c:pt idx="34">
                        <c:v>1992</c:v>
                      </c:pt>
                      <c:pt idx="35">
                        <c:v>1993</c:v>
                      </c:pt>
                      <c:pt idx="36">
                        <c:v>1994</c:v>
                      </c:pt>
                      <c:pt idx="37">
                        <c:v>1995</c:v>
                      </c:pt>
                      <c:pt idx="38">
                        <c:v>1996</c:v>
                      </c:pt>
                      <c:pt idx="39">
                        <c:v>1997</c:v>
                      </c:pt>
                      <c:pt idx="40">
                        <c:v>1998</c:v>
                      </c:pt>
                      <c:pt idx="41">
                        <c:v>1999</c:v>
                      </c:pt>
                      <c:pt idx="42">
                        <c:v>2000</c:v>
                      </c:pt>
                      <c:pt idx="43">
                        <c:v>2001</c:v>
                      </c:pt>
                      <c:pt idx="44">
                        <c:v>2002</c:v>
                      </c:pt>
                      <c:pt idx="45">
                        <c:v>2003</c:v>
                      </c:pt>
                      <c:pt idx="46">
                        <c:v>2004</c:v>
                      </c:pt>
                      <c:pt idx="47">
                        <c:v>2005</c:v>
                      </c:pt>
                      <c:pt idx="48">
                        <c:v>2006</c:v>
                      </c:pt>
                      <c:pt idx="49">
                        <c:v>2007</c:v>
                      </c:pt>
                      <c:pt idx="50">
                        <c:v>2008</c:v>
                      </c:pt>
                      <c:pt idx="51">
                        <c:v>2009</c:v>
                      </c:pt>
                      <c:pt idx="52">
                        <c:v>2010</c:v>
                      </c:pt>
                      <c:pt idx="53">
                        <c:v>2011</c:v>
                      </c:pt>
                      <c:pt idx="54">
                        <c:v>2012</c:v>
                      </c:pt>
                      <c:pt idx="55">
                        <c:v>2013</c:v>
                      </c:pt>
                      <c:pt idx="56">
                        <c:v>2014</c:v>
                      </c:pt>
                      <c:pt idx="57">
                        <c:v>2015</c:v>
                      </c:pt>
                      <c:pt idx="58">
                        <c:v>2016</c:v>
                      </c:pt>
                      <c:pt idx="59">
                        <c:v>2017</c:v>
                      </c:pt>
                      <c:pt idx="60">
                        <c:v>2018</c:v>
                      </c:pt>
                      <c:pt idx="61">
                        <c:v>2019</c:v>
                      </c:pt>
                      <c:pt idx="62">
                        <c:v>2020</c:v>
                      </c:pt>
                      <c:pt idx="63">
                        <c:v>2021</c:v>
                      </c:pt>
                      <c:pt idx="64">
                        <c:v>2022</c:v>
                      </c:pt>
                      <c:pt idx="65">
                        <c:v>2023</c:v>
                      </c:pt>
                      <c:pt idx="66">
                        <c:v>2024</c:v>
                      </c:pt>
                      <c:pt idx="67">
                        <c:v>2025</c:v>
                      </c:pt>
                      <c:pt idx="68">
                        <c:v>2026</c:v>
                      </c:pt>
                      <c:pt idx="69">
                        <c:v>2027</c:v>
                      </c:pt>
                    </c:numCache>
                  </c:numRef>
                </c:cat>
                <c:val>
                  <c:numRef>
                    <c:extLst xmlns:c15="http://schemas.microsoft.com/office/drawing/2012/chart">
                      <c:ext xmlns:c15="http://schemas.microsoft.com/office/drawing/2012/chart" uri="{02D57815-91ED-43cb-92C2-25804820EDAC}">
                        <c15:formulaRef>
                          <c15:sqref>'grafico cicli 2014 (2)'!$D$2:$D$58</c15:sqref>
                        </c15:formulaRef>
                      </c:ext>
                    </c:extLst>
                    <c:numCache>
                      <c:formatCode>General</c:formatCode>
                      <c:ptCount val="57"/>
                      <c:pt idx="56">
                        <c:v>0</c:v>
                      </c:pt>
                    </c:numCache>
                  </c:numRef>
                </c:val>
                <c:smooth val="0"/>
              </c15:ser>
            </c15:filteredLineSeries>
          </c:ext>
        </c:extLst>
      </c:lineChart>
      <c:catAx>
        <c:axId val="46424723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it-IT"/>
          </a:p>
        </c:txPr>
        <c:crossAx val="464247624"/>
        <c:crossesAt val="0"/>
        <c:auto val="1"/>
        <c:lblAlgn val="ctr"/>
        <c:lblOffset val="100"/>
        <c:tickLblSkip val="2"/>
        <c:tickMarkSkip val="1"/>
        <c:noMultiLvlLbl val="0"/>
      </c:catAx>
      <c:valAx>
        <c:axId val="464247624"/>
        <c:scaling>
          <c:orientation val="minMax"/>
          <c:min val="50"/>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64247232"/>
        <c:crosses val="autoZero"/>
        <c:crossBetween val="between"/>
      </c:valAx>
      <c:spPr>
        <a:noFill/>
        <a:ln>
          <a:noFill/>
        </a:ln>
        <a:effectLst/>
      </c:spPr>
    </c:plotArea>
    <c:legend>
      <c:legendPos val="t"/>
      <c:layout>
        <c:manualLayout>
          <c:xMode val="edge"/>
          <c:yMode val="edge"/>
          <c:x val="0.19456216121133008"/>
          <c:y val="0"/>
          <c:w val="0.61557879339156685"/>
          <c:h val="6.154918434238782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0.17376</cdr:x>
      <cdr:y>0.13428</cdr:y>
    </cdr:from>
    <cdr:to>
      <cdr:x>0.2002</cdr:x>
      <cdr:y>0.17679</cdr:y>
    </cdr:to>
    <cdr:sp macro="" textlink="">
      <cdr:nvSpPr>
        <cdr:cNvPr id="2" name="Text Box 2"/>
        <cdr:cNvSpPr txBox="1">
          <a:spLocks xmlns:a="http://schemas.openxmlformats.org/drawingml/2006/main" noChangeArrowheads="1"/>
        </cdr:cNvSpPr>
      </cdr:nvSpPr>
      <cdr:spPr bwMode="auto">
        <a:xfrm xmlns:a="http://schemas.openxmlformats.org/drawingml/2006/main">
          <a:off x="1127125" y="631825"/>
          <a:ext cx="171450"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1000" b="0" i="0" u="none" strike="noStrike" baseline="0">
              <a:solidFill>
                <a:srgbClr val="000000"/>
              </a:solidFill>
              <a:latin typeface="Tahoma"/>
              <a:ea typeface="Tahoma"/>
              <a:cs typeface="Tahoma"/>
            </a:rPr>
            <a:t>I°</a:t>
          </a:r>
        </a:p>
      </cdr:txBody>
    </cdr:sp>
  </cdr:relSizeAnchor>
  <cdr:relSizeAnchor xmlns:cdr="http://schemas.openxmlformats.org/drawingml/2006/chartDrawing">
    <cdr:from>
      <cdr:x>0.30152</cdr:x>
      <cdr:y>0.06343</cdr:y>
    </cdr:from>
    <cdr:to>
      <cdr:x>0.30299</cdr:x>
      <cdr:y>0.8529</cdr:y>
    </cdr:to>
    <cdr:sp macro="" textlink="">
      <cdr:nvSpPr>
        <cdr:cNvPr id="3" name="Line 3"/>
        <cdr:cNvSpPr>
          <a:spLocks xmlns:a="http://schemas.openxmlformats.org/drawingml/2006/main" noChangeShapeType="1"/>
        </cdr:cNvSpPr>
      </cdr:nvSpPr>
      <cdr:spPr bwMode="auto">
        <a:xfrm xmlns:a="http://schemas.openxmlformats.org/drawingml/2006/main" flipH="1" flipV="1">
          <a:off x="1955799" y="298449"/>
          <a:ext cx="9525" cy="3714749"/>
        </a:xfrm>
        <a:prstGeom xmlns:a="http://schemas.openxmlformats.org/drawingml/2006/main" prst="line">
          <a:avLst/>
        </a:prstGeom>
        <a:noFill xmlns:a="http://schemas.openxmlformats.org/drawingml/2006/main"/>
        <a:ln xmlns:a="http://schemas.openxmlformats.org/drawingml/2006/main" w="19050">
          <a:solidFill>
            <a:schemeClr val="accent2"/>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0.42475</cdr:x>
      <cdr:y>0.06343</cdr:y>
    </cdr:from>
    <cdr:to>
      <cdr:x>0.42622</cdr:x>
      <cdr:y>0.85493</cdr:y>
    </cdr:to>
    <cdr:sp macro="" textlink="">
      <cdr:nvSpPr>
        <cdr:cNvPr id="4" name="Line 4"/>
        <cdr:cNvSpPr>
          <a:spLocks xmlns:a="http://schemas.openxmlformats.org/drawingml/2006/main" noChangeShapeType="1"/>
        </cdr:cNvSpPr>
      </cdr:nvSpPr>
      <cdr:spPr bwMode="auto">
        <a:xfrm xmlns:a="http://schemas.openxmlformats.org/drawingml/2006/main" flipV="1">
          <a:off x="2293679" y="252543"/>
          <a:ext cx="7938" cy="3151318"/>
        </a:xfrm>
        <a:prstGeom xmlns:a="http://schemas.openxmlformats.org/drawingml/2006/main" prst="line">
          <a:avLst/>
        </a:prstGeom>
        <a:noFill xmlns:a="http://schemas.openxmlformats.org/drawingml/2006/main"/>
        <a:ln xmlns:a="http://schemas.openxmlformats.org/drawingml/2006/main" w="19050">
          <a:solidFill>
            <a:schemeClr val="accent2"/>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0.57447</cdr:x>
      <cdr:y>0.06118</cdr:y>
    </cdr:from>
    <cdr:to>
      <cdr:x>0.57594</cdr:x>
      <cdr:y>0.85268</cdr:y>
    </cdr:to>
    <cdr:sp macro="" textlink="">
      <cdr:nvSpPr>
        <cdr:cNvPr id="5" name="Line 5"/>
        <cdr:cNvSpPr>
          <a:spLocks xmlns:a="http://schemas.openxmlformats.org/drawingml/2006/main" noChangeShapeType="1"/>
        </cdr:cNvSpPr>
      </cdr:nvSpPr>
      <cdr:spPr bwMode="auto">
        <a:xfrm xmlns:a="http://schemas.openxmlformats.org/drawingml/2006/main" flipV="1">
          <a:off x="3102179" y="243576"/>
          <a:ext cx="7938" cy="3151318"/>
        </a:xfrm>
        <a:prstGeom xmlns:a="http://schemas.openxmlformats.org/drawingml/2006/main" prst="line">
          <a:avLst/>
        </a:prstGeom>
        <a:noFill xmlns:a="http://schemas.openxmlformats.org/drawingml/2006/main"/>
        <a:ln xmlns:a="http://schemas.openxmlformats.org/drawingml/2006/main" w="19050">
          <a:solidFill>
            <a:schemeClr val="accent2"/>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0.79562</cdr:x>
      <cdr:y>0.05245</cdr:y>
    </cdr:from>
    <cdr:to>
      <cdr:x>0.79562</cdr:x>
      <cdr:y>0.86217</cdr:y>
    </cdr:to>
    <cdr:sp macro="" textlink="">
      <cdr:nvSpPr>
        <cdr:cNvPr id="6" name="Line 6"/>
        <cdr:cNvSpPr>
          <a:spLocks xmlns:a="http://schemas.openxmlformats.org/drawingml/2006/main" noChangeShapeType="1"/>
        </cdr:cNvSpPr>
      </cdr:nvSpPr>
      <cdr:spPr bwMode="auto">
        <a:xfrm xmlns:a="http://schemas.openxmlformats.org/drawingml/2006/main" flipV="1">
          <a:off x="4298887" y="199315"/>
          <a:ext cx="0" cy="3076806"/>
        </a:xfrm>
        <a:prstGeom xmlns:a="http://schemas.openxmlformats.org/drawingml/2006/main" prst="line">
          <a:avLst/>
        </a:prstGeom>
        <a:noFill xmlns:a="http://schemas.openxmlformats.org/drawingml/2006/main"/>
        <a:ln xmlns:a="http://schemas.openxmlformats.org/drawingml/2006/main" w="19050">
          <a:solidFill>
            <a:schemeClr val="accent2"/>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0.35995</cdr:x>
      <cdr:y>0.13189</cdr:y>
    </cdr:from>
    <cdr:to>
      <cdr:x>0.3952</cdr:x>
      <cdr:y>0.17237</cdr:y>
    </cdr:to>
    <cdr:sp macro="" textlink="">
      <cdr:nvSpPr>
        <cdr:cNvPr id="7" name="Text Box 7"/>
        <cdr:cNvSpPr txBox="1">
          <a:spLocks xmlns:a="http://schemas.openxmlformats.org/drawingml/2006/main" noChangeArrowheads="1"/>
        </cdr:cNvSpPr>
      </cdr:nvSpPr>
      <cdr:spPr bwMode="auto">
        <a:xfrm xmlns:a="http://schemas.openxmlformats.org/drawingml/2006/main">
          <a:off x="1943727" y="525104"/>
          <a:ext cx="190351" cy="16116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1000" b="0" i="0" u="none" strike="noStrike" baseline="0">
              <a:solidFill>
                <a:srgbClr val="000000"/>
              </a:solidFill>
              <a:latin typeface="Tahoma"/>
              <a:ea typeface="Tahoma"/>
              <a:cs typeface="Tahoma"/>
            </a:rPr>
            <a:t>II°</a:t>
          </a:r>
        </a:p>
      </cdr:txBody>
    </cdr:sp>
  </cdr:relSizeAnchor>
  <cdr:relSizeAnchor xmlns:cdr="http://schemas.openxmlformats.org/drawingml/2006/chartDrawing">
    <cdr:from>
      <cdr:x>0.49356</cdr:x>
      <cdr:y>0.1295</cdr:y>
    </cdr:from>
    <cdr:to>
      <cdr:x>0.53761</cdr:x>
      <cdr:y>0.16998</cdr:y>
    </cdr:to>
    <cdr:sp macro="" textlink="">
      <cdr:nvSpPr>
        <cdr:cNvPr id="8" name="Text Box 8"/>
        <cdr:cNvSpPr txBox="1">
          <a:spLocks xmlns:a="http://schemas.openxmlformats.org/drawingml/2006/main" noChangeArrowheads="1"/>
        </cdr:cNvSpPr>
      </cdr:nvSpPr>
      <cdr:spPr bwMode="auto">
        <a:xfrm xmlns:a="http://schemas.openxmlformats.org/drawingml/2006/main">
          <a:off x="2665233" y="515579"/>
          <a:ext cx="237872" cy="16116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1000" b="0" i="0" u="none" strike="noStrike" baseline="0">
              <a:solidFill>
                <a:srgbClr val="000000"/>
              </a:solidFill>
              <a:latin typeface="Tahoma"/>
              <a:ea typeface="Tahoma"/>
              <a:cs typeface="Tahoma"/>
            </a:rPr>
            <a:t>III°</a:t>
          </a:r>
        </a:p>
      </cdr:txBody>
    </cdr:sp>
  </cdr:relSizeAnchor>
  <cdr:relSizeAnchor xmlns:cdr="http://schemas.openxmlformats.org/drawingml/2006/chartDrawing">
    <cdr:from>
      <cdr:x>0.67505</cdr:x>
      <cdr:y>0.1295</cdr:y>
    </cdr:from>
    <cdr:to>
      <cdr:x>0.71911</cdr:x>
      <cdr:y>0.16998</cdr:y>
    </cdr:to>
    <cdr:sp macro="" textlink="">
      <cdr:nvSpPr>
        <cdr:cNvPr id="9" name="Text Box 9"/>
        <cdr:cNvSpPr txBox="1">
          <a:spLocks xmlns:a="http://schemas.openxmlformats.org/drawingml/2006/main" noChangeArrowheads="1"/>
        </cdr:cNvSpPr>
      </cdr:nvSpPr>
      <cdr:spPr bwMode="auto">
        <a:xfrm xmlns:a="http://schemas.openxmlformats.org/drawingml/2006/main">
          <a:off x="3645298" y="515579"/>
          <a:ext cx="237926" cy="16116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1000" b="0" i="0" u="none" strike="noStrike" baseline="0">
              <a:solidFill>
                <a:srgbClr val="000000"/>
              </a:solidFill>
              <a:latin typeface="Tahoma"/>
              <a:ea typeface="Tahoma"/>
              <a:cs typeface="Tahoma"/>
            </a:rPr>
            <a:t>IV°</a:t>
          </a:r>
        </a:p>
      </cdr:txBody>
    </cdr:sp>
  </cdr:relSizeAnchor>
  <cdr:relSizeAnchor xmlns:cdr="http://schemas.openxmlformats.org/drawingml/2006/chartDrawing">
    <cdr:from>
      <cdr:x>0.86802</cdr:x>
      <cdr:y>0.13189</cdr:y>
    </cdr:from>
    <cdr:to>
      <cdr:x>0.93263</cdr:x>
      <cdr:y>0.17237</cdr:y>
    </cdr:to>
    <cdr:sp macro="" textlink="">
      <cdr:nvSpPr>
        <cdr:cNvPr id="10" name="Text Box 10"/>
        <cdr:cNvSpPr txBox="1">
          <a:spLocks xmlns:a="http://schemas.openxmlformats.org/drawingml/2006/main" noChangeArrowheads="1"/>
        </cdr:cNvSpPr>
      </cdr:nvSpPr>
      <cdr:spPr bwMode="auto">
        <a:xfrm xmlns:a="http://schemas.openxmlformats.org/drawingml/2006/main">
          <a:off x="4687328" y="525104"/>
          <a:ext cx="348897" cy="16116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it-IT" sz="1000" b="0" i="0" u="none" strike="noStrike" baseline="0">
              <a:solidFill>
                <a:srgbClr val="000000"/>
              </a:solidFill>
              <a:latin typeface="Tahoma"/>
              <a:ea typeface="Tahoma"/>
              <a:cs typeface="Tahoma"/>
            </a:rPr>
            <a:t>    V°</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RAPPORTO DI PREVISIONI SUL REAL ESTATE ITALIANO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722C42-53A1-4456-95D7-1AD13990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11862</Words>
  <Characters>67620</Characters>
  <Application>Microsoft Office Word</Application>
  <DocSecurity>0</DocSecurity>
  <Lines>563</Lines>
  <Paragraphs>158</Paragraphs>
  <ScaleCrop>false</ScaleCrop>
  <HeadingPairs>
    <vt:vector size="2" baseType="variant">
      <vt:variant>
        <vt:lpstr>Titolo</vt:lpstr>
      </vt:variant>
      <vt:variant>
        <vt:i4>1</vt:i4>
      </vt:variant>
    </vt:vector>
  </HeadingPairs>
  <TitlesOfParts>
    <vt:vector size="1" baseType="lpstr">
      <vt:lpstr>Il futuro dell’Immobiliare/L’immobiliare del futuro</vt:lpstr>
    </vt:vector>
  </TitlesOfParts>
  <Company>Olidata S.p.A.</Company>
  <LinksUpToDate>false</LinksUpToDate>
  <CharactersWithSpaces>79324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futuro dell’Immobiliare/L’immobiliare del futuro</dc:title>
  <dc:subject>EMBARGO FINO ALLE 10.30 DEL 21 MARZO 2016</dc:subject>
  <dc:creator>Roma0</dc:creator>
  <cp:lastModifiedBy>Roma0</cp:lastModifiedBy>
  <cp:revision>2</cp:revision>
  <cp:lastPrinted>2016-03-15T10:27:00Z</cp:lastPrinted>
  <dcterms:created xsi:type="dcterms:W3CDTF">2016-03-15T12:27:00Z</dcterms:created>
  <dcterms:modified xsi:type="dcterms:W3CDTF">2016-03-15T12:27:00Z</dcterms:modified>
</cp:coreProperties>
</file>